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8FC" w:rsidRPr="00E25AE7" w:rsidRDefault="003A316E" w:rsidP="001F386E">
      <w:pPr>
        <w:ind w:firstLine="0"/>
        <w:jc w:val="left"/>
        <w:rPr>
          <w:color w:val="FFFFFF" w:themeColor="background1"/>
          <w:sz w:val="18"/>
          <w:szCs w:val="18"/>
          <w:lang w:val="ru-RU"/>
        </w:rPr>
      </w:pPr>
      <w:r w:rsidRPr="00E25AE7">
        <w:rPr>
          <w:color w:val="FFFFFF" w:themeColor="background1"/>
          <w:sz w:val="18"/>
          <w:szCs w:val="18"/>
        </w:rPr>
        <w:t>DOI</w:t>
      </w:r>
      <w:r w:rsidR="008508FC" w:rsidRPr="00E25AE7">
        <w:rPr>
          <w:color w:val="FFFFFF" w:themeColor="background1"/>
          <w:sz w:val="18"/>
          <w:szCs w:val="18"/>
          <w:lang w:val="ru-RU"/>
        </w:rPr>
        <w:t>:</w:t>
      </w:r>
    </w:p>
    <w:p w:rsidR="00DA0C9C" w:rsidRPr="00E25AE7" w:rsidRDefault="008508FC" w:rsidP="00E25AE7">
      <w:pPr>
        <w:pStyle w:val="aa"/>
        <w:spacing w:after="100"/>
        <w:rPr>
          <w:sz w:val="18"/>
          <w:szCs w:val="18"/>
          <w:lang w:val="ru-RU"/>
        </w:rPr>
      </w:pPr>
      <w:r w:rsidRPr="00D97BCC">
        <w:rPr>
          <w:sz w:val="18"/>
          <w:szCs w:val="18"/>
          <w:lang w:val="ru-RU"/>
        </w:rPr>
        <w:t>УДК</w:t>
      </w:r>
      <w:r w:rsidR="001F386E" w:rsidRPr="00D97BCC">
        <w:rPr>
          <w:sz w:val="18"/>
          <w:szCs w:val="18"/>
          <w:lang w:val="ru-RU"/>
        </w:rPr>
        <w:t xml:space="preserve"> </w:t>
      </w:r>
      <w:r w:rsidR="00D97BCC" w:rsidRPr="00D97BCC">
        <w:rPr>
          <w:sz w:val="18"/>
          <w:szCs w:val="18"/>
          <w:lang w:val="ru-RU"/>
        </w:rPr>
        <w:t>681.518.9; 621.384.3</w:t>
      </w:r>
    </w:p>
    <w:p w:rsidR="00DA0C9C" w:rsidRPr="00E25AE7" w:rsidRDefault="00A464B2" w:rsidP="00085F61">
      <w:pPr>
        <w:tabs>
          <w:tab w:val="left" w:pos="3425"/>
        </w:tabs>
        <w:ind w:firstLine="0"/>
        <w:jc w:val="center"/>
        <w:rPr>
          <w:lang w:val="ru-RU"/>
        </w:rPr>
      </w:pPr>
      <w:r>
        <w:rPr>
          <w:lang w:val="ru-RU"/>
        </w:rPr>
        <w:t>О. И. Пугачев,</w:t>
      </w:r>
      <w:r w:rsidR="00316300" w:rsidRPr="00D04015">
        <w:rPr>
          <w:lang w:val="ru-RU"/>
        </w:rPr>
        <w:t xml:space="preserve"> </w:t>
      </w:r>
      <w:r w:rsidR="001017E3">
        <w:rPr>
          <w:lang w:val="ru-RU"/>
        </w:rPr>
        <w:t>К</w:t>
      </w:r>
      <w:r w:rsidR="00316300" w:rsidRPr="00D04015">
        <w:rPr>
          <w:lang w:val="ru-RU"/>
        </w:rPr>
        <w:t xml:space="preserve">. </w:t>
      </w:r>
      <w:r w:rsidR="001017E3">
        <w:rPr>
          <w:lang w:val="ru-RU"/>
        </w:rPr>
        <w:t>Н</w:t>
      </w:r>
      <w:r w:rsidR="00316300" w:rsidRPr="00D04015">
        <w:rPr>
          <w:lang w:val="ru-RU"/>
        </w:rPr>
        <w:t xml:space="preserve">. </w:t>
      </w:r>
      <w:r w:rsidR="001017E3">
        <w:rPr>
          <w:lang w:val="ru-RU"/>
        </w:rPr>
        <w:t>Фазилова</w:t>
      </w:r>
    </w:p>
    <w:p w:rsidR="00DA0C9C" w:rsidRPr="00E25AE7" w:rsidRDefault="00E25AE7" w:rsidP="00085F61">
      <w:pPr>
        <w:spacing w:after="100"/>
        <w:ind w:firstLine="0"/>
        <w:jc w:val="center"/>
        <w:rPr>
          <w:lang w:val="ru-RU"/>
        </w:rPr>
      </w:pPr>
      <w:r>
        <w:rPr>
          <w:lang w:val="ru-RU"/>
        </w:rPr>
        <w:t>(</w:t>
      </w:r>
      <w:r w:rsidR="00490E2A">
        <w:rPr>
          <w:lang w:val="ru-RU"/>
        </w:rPr>
        <w:t xml:space="preserve">г. </w:t>
      </w:r>
      <w:r w:rsidR="00F43BD8" w:rsidRPr="000377E8">
        <w:rPr>
          <w:lang w:val="ru-RU"/>
        </w:rPr>
        <w:t>Москва</w:t>
      </w:r>
      <w:r w:rsidR="00490E2A">
        <w:rPr>
          <w:lang w:val="ru-RU"/>
        </w:rPr>
        <w:t xml:space="preserve">, </w:t>
      </w:r>
      <w:r w:rsidR="00316300" w:rsidRPr="000377E8">
        <w:rPr>
          <w:lang w:val="ru-RU"/>
        </w:rPr>
        <w:t>МИРЭА – Российский технологический университет</w:t>
      </w:r>
      <w:r>
        <w:rPr>
          <w:rFonts w:cs="Times New Roman"/>
          <w:lang w:val="ru-RU"/>
        </w:rPr>
        <w:t>)</w:t>
      </w:r>
    </w:p>
    <w:p w:rsidR="00A464B2" w:rsidRDefault="00A464B2" w:rsidP="00A464B2">
      <w:pPr>
        <w:spacing w:before="100" w:after="100"/>
        <w:ind w:firstLine="0"/>
        <w:jc w:val="center"/>
        <w:rPr>
          <w:b/>
          <w:caps/>
          <w:lang w:val="ru-RU"/>
        </w:rPr>
      </w:pPr>
      <w:r w:rsidRPr="00A464B2">
        <w:rPr>
          <w:b/>
          <w:caps/>
          <w:lang w:val="ru-RU"/>
        </w:rPr>
        <w:t xml:space="preserve">СТАТИСТИЧЕСКАЯ ОЦЕНКА ИНТЕНСИВНОСТИ ОТКАЗОВ ПРОГРАММНОГО КОМПЛЕКСА </w:t>
      </w:r>
    </w:p>
    <w:p w:rsidR="000377E8" w:rsidRPr="00E25AE7" w:rsidRDefault="000377E8" w:rsidP="00085F61">
      <w:pPr>
        <w:spacing w:before="100" w:after="100"/>
        <w:ind w:firstLine="0"/>
        <w:jc w:val="center"/>
        <w:rPr>
          <w:b/>
          <w:caps/>
          <w:lang w:val="ru-RU"/>
        </w:rPr>
      </w:pPr>
    </w:p>
    <w:p w:rsidR="00DA0C9C" w:rsidRPr="00A464B2" w:rsidRDefault="00A464B2" w:rsidP="00085F61">
      <w:pPr>
        <w:spacing w:after="100"/>
        <w:ind w:firstLine="0"/>
        <w:jc w:val="center"/>
        <w:rPr>
          <w:rFonts w:eastAsia="Times New Roman" w:cs="Times New Roman"/>
          <w:caps/>
          <w:szCs w:val="20"/>
          <w:lang w:eastAsia="ru-RU" w:bidi="ar-SA"/>
        </w:rPr>
      </w:pPr>
      <w:r w:rsidRPr="00A464B2">
        <w:rPr>
          <w:rFonts w:eastAsia="Times New Roman" w:cs="Times New Roman"/>
          <w:caps/>
          <w:szCs w:val="20"/>
          <w:lang w:val="en" w:eastAsia="ru-RU" w:bidi="ar-SA"/>
        </w:rPr>
        <w:t>STATISTICAL EVALUATION OF THE FAILURE RATE OF THE SOFTWARE PACKAGE</w:t>
      </w:r>
    </w:p>
    <w:p w:rsidR="00316300" w:rsidRPr="00625F39" w:rsidRDefault="00A464B2" w:rsidP="00085F61">
      <w:pPr>
        <w:ind w:firstLine="397"/>
        <w:rPr>
          <w:i/>
          <w:lang w:val="ru-RU"/>
        </w:rPr>
      </w:pPr>
      <w:r w:rsidRPr="00A464B2">
        <w:rPr>
          <w:i/>
          <w:lang w:val="ru-RU"/>
        </w:rPr>
        <w:t>В статье представлен методологический подход к оценке интенсивности отказов программного комплекса на стадии проектирования локальных вычислительных сетей и показан пример его реализации.</w:t>
      </w:r>
    </w:p>
    <w:p w:rsidR="000377E8" w:rsidRPr="00585763" w:rsidRDefault="00A464B2" w:rsidP="00085F61">
      <w:pPr>
        <w:ind w:firstLine="397"/>
        <w:rPr>
          <w:rFonts w:eastAsia="Times New Roman" w:cs="Times New Roman"/>
          <w:i/>
          <w:szCs w:val="20"/>
          <w:highlight w:val="yellow"/>
          <w:lang w:eastAsia="ru-RU" w:bidi="ar-SA"/>
        </w:rPr>
      </w:pPr>
      <w:r w:rsidRPr="00A464B2">
        <w:rPr>
          <w:rFonts w:eastAsia="Times New Roman" w:cs="Times New Roman"/>
          <w:i/>
          <w:szCs w:val="20"/>
          <w:lang w:val="en" w:eastAsia="ru-RU" w:bidi="ar-SA"/>
        </w:rPr>
        <w:t>The article presents a methodological approach to evaluating the reliability of a software package at the design stage of local area networks and shows an example of its implementation.</w:t>
      </w:r>
    </w:p>
    <w:p w:rsidR="002B3F32" w:rsidRPr="00625F39" w:rsidRDefault="002B3F32" w:rsidP="00085F61">
      <w:pPr>
        <w:ind w:firstLine="397"/>
        <w:rPr>
          <w:i/>
          <w:lang w:val="ru-RU"/>
        </w:rPr>
      </w:pPr>
      <w:r w:rsidRPr="00625F39">
        <w:rPr>
          <w:i/>
          <w:lang w:val="ru-RU"/>
        </w:rPr>
        <w:t xml:space="preserve">Ключевые слова: </w:t>
      </w:r>
      <w:r w:rsidR="00A464B2" w:rsidRPr="00A464B2">
        <w:rPr>
          <w:i/>
          <w:lang w:val="ru-RU"/>
        </w:rPr>
        <w:t>канал связи, агрегирование пакетов, имитационное моделирование.</w:t>
      </w:r>
    </w:p>
    <w:p w:rsidR="000377E8" w:rsidRPr="000377E8" w:rsidRDefault="00E25AE7" w:rsidP="00085F61">
      <w:pPr>
        <w:ind w:firstLine="397"/>
        <w:jc w:val="left"/>
        <w:rPr>
          <w:rFonts w:eastAsia="Times New Roman" w:cs="Times New Roman"/>
          <w:i/>
          <w:szCs w:val="20"/>
          <w:lang w:eastAsia="ru-RU" w:bidi="ar-SA"/>
        </w:rPr>
      </w:pPr>
      <w:r w:rsidRPr="00625F39">
        <w:rPr>
          <w:rFonts w:eastAsia="Times New Roman" w:cs="Times New Roman"/>
          <w:i/>
          <w:szCs w:val="20"/>
          <w:lang w:val="en" w:eastAsia="ru-RU" w:bidi="ar-SA"/>
        </w:rPr>
        <w:t>Key</w:t>
      </w:r>
      <w:r w:rsidR="000377E8" w:rsidRPr="00625F39">
        <w:rPr>
          <w:rFonts w:eastAsia="Times New Roman" w:cs="Times New Roman"/>
          <w:i/>
          <w:szCs w:val="20"/>
          <w:lang w:val="en" w:eastAsia="ru-RU" w:bidi="ar-SA"/>
        </w:rPr>
        <w:t xml:space="preserve">words: </w:t>
      </w:r>
      <w:r w:rsidR="00A464B2" w:rsidRPr="00A464B2">
        <w:rPr>
          <w:rFonts w:eastAsia="Times New Roman" w:cs="Times New Roman"/>
          <w:i/>
          <w:szCs w:val="20"/>
          <w:lang w:val="en" w:eastAsia="ru-RU" w:bidi="ar-SA"/>
        </w:rPr>
        <w:t>communicat</w:t>
      </w:r>
      <w:bookmarkStart w:id="0" w:name="_GoBack"/>
      <w:bookmarkEnd w:id="0"/>
      <w:r w:rsidR="00A464B2" w:rsidRPr="00A464B2">
        <w:rPr>
          <w:rFonts w:eastAsia="Times New Roman" w:cs="Times New Roman"/>
          <w:i/>
          <w:szCs w:val="20"/>
          <w:lang w:val="en" w:eastAsia="ru-RU" w:bidi="ar-SA"/>
        </w:rPr>
        <w:t>ion network; packet aggregation; simulation modeling</w:t>
      </w:r>
      <w:r w:rsidR="00A464B2" w:rsidRPr="00A464B2">
        <w:rPr>
          <w:rFonts w:eastAsia="Times New Roman" w:cs="Times New Roman"/>
          <w:i/>
          <w:szCs w:val="20"/>
          <w:lang w:eastAsia="ru-RU" w:bidi="ar-SA"/>
        </w:rPr>
        <w:t>.</w:t>
      </w:r>
      <w:r w:rsidR="00A464B2" w:rsidRPr="00A464B2">
        <w:rPr>
          <w:rFonts w:eastAsia="Times New Roman" w:cs="Times New Roman"/>
          <w:i/>
          <w:szCs w:val="20"/>
          <w:lang w:val="en" w:eastAsia="ru-RU" w:bidi="ar-SA"/>
        </w:rPr>
        <w:t xml:space="preserve"> </w:t>
      </w:r>
    </w:p>
    <w:p w:rsidR="00B11DD8" w:rsidRPr="000377E8" w:rsidRDefault="00B11DD8" w:rsidP="00085F61">
      <w:pPr>
        <w:ind w:firstLine="397"/>
      </w:pPr>
    </w:p>
    <w:p w:rsidR="00A464B2" w:rsidRPr="00A464B2" w:rsidRDefault="00A464B2" w:rsidP="00A464B2">
      <w:pPr>
        <w:ind w:firstLine="397"/>
        <w:rPr>
          <w:lang w:val="ru-RU"/>
        </w:rPr>
      </w:pPr>
      <w:r w:rsidRPr="00A464B2">
        <w:rPr>
          <w:lang w:val="ru-RU"/>
        </w:rPr>
        <w:t xml:space="preserve">В настоящее время одной из основных проблем при проектировании локальных вычислительных сетей (ЛВС) является проблема обеспечения надежности. Специфика ЛВС требует особого подхода при прогнозировании надежности на этапе проектирования сети. ЛВС являются сложными техническими комплексами и оснащаются разнообразными программными средствами, образующими программное обеспечение (ПО). Оценка надежности программного обеспечения существенно отличается от методов расчета надежности технических систем потому, что отказы ПО имеют иную природу и не зависят от условий эксплуатации, внешнего окружения, физического старения и износа элементов и иных причин, характерных для материальных объектов [1]. </w:t>
      </w:r>
    </w:p>
    <w:p w:rsidR="00780E80" w:rsidRDefault="00A464B2" w:rsidP="00A464B2">
      <w:pPr>
        <w:ind w:firstLine="397"/>
        <w:rPr>
          <w:lang w:val="ru-RU"/>
        </w:rPr>
      </w:pPr>
      <w:r w:rsidRPr="00A464B2">
        <w:rPr>
          <w:lang w:val="ru-RU"/>
        </w:rPr>
        <w:t>Процессы проектирования ПО на всех своих стадиях должны включать процедуры, способствующие выявлению ошибок и оценки надежности программной системы. Общая схема технологической модели проверки программ на надежность представлена на рисунке 1 [2].</w:t>
      </w:r>
    </w:p>
    <w:p w:rsidR="00A464B2" w:rsidRDefault="00A464B2" w:rsidP="00A464B2">
      <w:pPr>
        <w:ind w:firstLine="397"/>
        <w:jc w:val="center"/>
        <w:rPr>
          <w:i/>
          <w:iCs/>
          <w:lang w:val="ru-RU"/>
        </w:rPr>
      </w:pPr>
      <w:r>
        <w:rPr>
          <w:i/>
          <w:iCs/>
          <w:noProof/>
          <w:lang w:val="ru-RU" w:eastAsia="ru-RU" w:bidi="ar-SA"/>
        </w:rPr>
        <w:lastRenderedPageBreak/>
        <w:drawing>
          <wp:inline distT="0" distB="0" distL="0" distR="0" wp14:anchorId="30FD1FBD">
            <wp:extent cx="2862600" cy="2466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8133" cy="2471743"/>
                    </a:xfrm>
                    <a:prstGeom prst="rect">
                      <a:avLst/>
                    </a:prstGeom>
                    <a:noFill/>
                  </pic:spPr>
                </pic:pic>
              </a:graphicData>
            </a:graphic>
          </wp:inline>
        </w:drawing>
      </w:r>
    </w:p>
    <w:p w:rsidR="00A464B2" w:rsidRPr="00780E80" w:rsidRDefault="00A464B2" w:rsidP="00A464B2">
      <w:pPr>
        <w:ind w:firstLine="397"/>
        <w:jc w:val="center"/>
        <w:rPr>
          <w:i/>
          <w:iCs/>
          <w:lang w:val="ru-RU"/>
        </w:rPr>
      </w:pPr>
      <w:r w:rsidRPr="00A464B2">
        <w:rPr>
          <w:i/>
          <w:iCs/>
          <w:lang w:val="ru-RU"/>
        </w:rPr>
        <w:t>Рис. 1. Процесс проверки программной системы на надежность</w:t>
      </w:r>
    </w:p>
    <w:p w:rsidR="00A464B2" w:rsidRPr="00A464B2" w:rsidRDefault="00A464B2" w:rsidP="00A464B2">
      <w:pPr>
        <w:ind w:firstLine="397"/>
        <w:rPr>
          <w:lang w:val="ru-RU"/>
        </w:rPr>
      </w:pPr>
      <w:r w:rsidRPr="00A464B2">
        <w:rPr>
          <w:lang w:val="ru-RU"/>
        </w:rPr>
        <w:t>Существуют три группы методов прогнозирования надежности:</w:t>
      </w:r>
    </w:p>
    <w:p w:rsidR="00A464B2" w:rsidRPr="00A464B2" w:rsidRDefault="00A464B2" w:rsidP="00A464B2">
      <w:pPr>
        <w:ind w:firstLine="397"/>
        <w:rPr>
          <w:lang w:val="ru-RU"/>
        </w:rPr>
      </w:pPr>
      <w:r w:rsidRPr="00A464B2">
        <w:rPr>
          <w:lang w:val="ru-RU"/>
        </w:rPr>
        <w:t xml:space="preserve">1. Теоретические расчетно-аналитические методы, или методы математического моделирования. </w:t>
      </w:r>
    </w:p>
    <w:p w:rsidR="00A464B2" w:rsidRPr="00A464B2" w:rsidRDefault="00A464B2" w:rsidP="00A464B2">
      <w:pPr>
        <w:ind w:firstLine="397"/>
        <w:rPr>
          <w:lang w:val="ru-RU"/>
        </w:rPr>
      </w:pPr>
      <w:r w:rsidRPr="00A464B2">
        <w:rPr>
          <w:lang w:val="ru-RU"/>
        </w:rPr>
        <w:t xml:space="preserve">2. Экспериментальные и экспериментально-аналитические методы, или методы физического моделирования. </w:t>
      </w:r>
    </w:p>
    <w:p w:rsidR="00A464B2" w:rsidRPr="00A464B2" w:rsidRDefault="00A464B2" w:rsidP="00A464B2">
      <w:pPr>
        <w:ind w:firstLine="397"/>
        <w:rPr>
          <w:lang w:val="ru-RU"/>
        </w:rPr>
      </w:pPr>
      <w:r w:rsidRPr="00A464B2">
        <w:rPr>
          <w:lang w:val="ru-RU"/>
        </w:rPr>
        <w:t xml:space="preserve">3. Эвристические методы, или методы эвристического моделирования. </w:t>
      </w:r>
    </w:p>
    <w:p w:rsidR="00A464B2" w:rsidRPr="00A464B2" w:rsidRDefault="00A464B2" w:rsidP="00A464B2">
      <w:pPr>
        <w:ind w:firstLine="397"/>
        <w:rPr>
          <w:lang w:val="ru-RU"/>
        </w:rPr>
      </w:pPr>
      <w:r w:rsidRPr="00A464B2">
        <w:rPr>
          <w:lang w:val="ru-RU"/>
        </w:rPr>
        <w:t xml:space="preserve">      Для прогнозирования надежности ПО проектируемой ЛВС воспользуемся расчетно-аналитическим методом, базирующимся на теории вероятностей. </w:t>
      </w:r>
    </w:p>
    <w:p w:rsidR="00A464B2" w:rsidRDefault="00A464B2" w:rsidP="00A464B2">
      <w:pPr>
        <w:ind w:firstLine="397"/>
        <w:rPr>
          <w:lang w:val="ru-RU"/>
        </w:rPr>
      </w:pPr>
      <w:r w:rsidRPr="00A464B2">
        <w:rPr>
          <w:lang w:val="ru-RU"/>
        </w:rPr>
        <w:t>К числу наиболее широко применяемых критериев надежности относится интенсивность отказов. Для разработанной информационной системы проводилось тестирование 1000 ее копий в течение t = 1000 часов. Полученные данные о количестве отказов, приведены в таблице 1.</w:t>
      </w:r>
    </w:p>
    <w:p w:rsidR="00A464B2" w:rsidRDefault="00A464B2" w:rsidP="000B6D2A">
      <w:pPr>
        <w:ind w:firstLine="397"/>
        <w:jc w:val="right"/>
        <w:rPr>
          <w:lang w:val="ru-RU"/>
        </w:rPr>
      </w:pPr>
      <w:r w:rsidRPr="00A464B2">
        <w:rPr>
          <w:lang w:val="ru-RU"/>
        </w:rPr>
        <w:t>Таблица 1. Данные о количестве отказов</w:t>
      </w:r>
    </w:p>
    <w:tbl>
      <w:tblPr>
        <w:tblStyle w:val="afc"/>
        <w:tblW w:w="0" w:type="auto"/>
        <w:tblLook w:val="04A0" w:firstRow="1" w:lastRow="0" w:firstColumn="1" w:lastColumn="0" w:noHBand="0" w:noVBand="1"/>
      </w:tblPr>
      <w:tblGrid>
        <w:gridCol w:w="1162"/>
        <w:gridCol w:w="960"/>
        <w:gridCol w:w="876"/>
        <w:gridCol w:w="918"/>
        <w:gridCol w:w="918"/>
        <w:gridCol w:w="918"/>
        <w:gridCol w:w="927"/>
      </w:tblGrid>
      <w:tr w:rsidR="00A464B2" w:rsidTr="00A464B2">
        <w:tc>
          <w:tcPr>
            <w:tcW w:w="1162" w:type="dxa"/>
            <w:tcBorders>
              <w:top w:val="single" w:sz="4" w:space="0" w:color="auto"/>
              <w:left w:val="single" w:sz="4" w:space="0" w:color="auto"/>
              <w:bottom w:val="single" w:sz="6" w:space="0" w:color="auto"/>
              <w:right w:val="single" w:sz="6" w:space="0" w:color="auto"/>
            </w:tcBorders>
            <w:vAlign w:val="center"/>
          </w:tcPr>
          <w:p w:rsidR="00A464B2" w:rsidRPr="00A464B2" w:rsidRDefault="00A464B2" w:rsidP="00A464B2">
            <w:pPr>
              <w:ind w:firstLine="0"/>
              <w:rPr>
                <w:szCs w:val="20"/>
              </w:rPr>
            </w:pPr>
            <w:proofErr w:type="spellStart"/>
            <w:r w:rsidRPr="00A464B2">
              <w:rPr>
                <w:szCs w:val="20"/>
              </w:rPr>
              <w:t>Интервалы</w:t>
            </w:r>
            <w:proofErr w:type="spellEnd"/>
            <w:r w:rsidRPr="00A464B2">
              <w:rPr>
                <w:szCs w:val="20"/>
              </w:rPr>
              <w:t xml:space="preserve"> </w:t>
            </w:r>
            <w:proofErr w:type="spellStart"/>
            <w:r w:rsidRPr="00A464B2">
              <w:rPr>
                <w:szCs w:val="20"/>
              </w:rPr>
              <w:t>времени</w:t>
            </w:r>
            <w:proofErr w:type="spellEnd"/>
            <w:r w:rsidRPr="00A464B2">
              <w:rPr>
                <w:szCs w:val="20"/>
              </w:rPr>
              <w:t xml:space="preserve"> </w:t>
            </w:r>
            <w:r w:rsidRPr="00A464B2">
              <w:rPr>
                <w:i/>
                <w:szCs w:val="20"/>
              </w:rPr>
              <w:sym w:font="Symbol" w:char="0044"/>
            </w:r>
            <w:proofErr w:type="spellStart"/>
            <w:r w:rsidRPr="00A464B2">
              <w:rPr>
                <w:i/>
                <w:szCs w:val="20"/>
              </w:rPr>
              <w:t>t</w:t>
            </w:r>
            <w:r w:rsidRPr="00A464B2">
              <w:rPr>
                <w:i/>
                <w:szCs w:val="20"/>
                <w:vertAlign w:val="subscript"/>
              </w:rPr>
              <w:t>i</w:t>
            </w:r>
            <w:proofErr w:type="spellEnd"/>
            <w:r w:rsidRPr="00A464B2">
              <w:rPr>
                <w:szCs w:val="20"/>
              </w:rPr>
              <w:t>, ч</w:t>
            </w:r>
          </w:p>
        </w:tc>
        <w:tc>
          <w:tcPr>
            <w:tcW w:w="960" w:type="dxa"/>
            <w:tcBorders>
              <w:top w:val="single" w:sz="4" w:space="0" w:color="auto"/>
              <w:left w:val="single" w:sz="6" w:space="0" w:color="auto"/>
              <w:bottom w:val="single" w:sz="6" w:space="0" w:color="auto"/>
              <w:right w:val="single" w:sz="6" w:space="0" w:color="auto"/>
            </w:tcBorders>
            <w:vAlign w:val="center"/>
          </w:tcPr>
          <w:p w:rsidR="00A464B2" w:rsidRPr="00A464B2" w:rsidRDefault="00A464B2" w:rsidP="00A464B2">
            <w:pPr>
              <w:ind w:firstLine="0"/>
              <w:jc w:val="center"/>
              <w:rPr>
                <w:szCs w:val="20"/>
              </w:rPr>
            </w:pPr>
          </w:p>
          <w:p w:rsidR="00A464B2" w:rsidRPr="00A464B2" w:rsidRDefault="00A464B2" w:rsidP="00A464B2">
            <w:pPr>
              <w:ind w:firstLine="0"/>
              <w:jc w:val="center"/>
              <w:rPr>
                <w:szCs w:val="20"/>
              </w:rPr>
            </w:pPr>
            <w:r w:rsidRPr="00A464B2">
              <w:rPr>
                <w:szCs w:val="20"/>
              </w:rPr>
              <w:t>0 – 200</w:t>
            </w:r>
          </w:p>
        </w:tc>
        <w:tc>
          <w:tcPr>
            <w:tcW w:w="876" w:type="dxa"/>
            <w:tcBorders>
              <w:top w:val="single" w:sz="4" w:space="0" w:color="auto"/>
              <w:left w:val="single" w:sz="6" w:space="0" w:color="auto"/>
              <w:bottom w:val="single" w:sz="6" w:space="0" w:color="auto"/>
              <w:right w:val="single" w:sz="6" w:space="0" w:color="auto"/>
            </w:tcBorders>
            <w:vAlign w:val="center"/>
          </w:tcPr>
          <w:p w:rsidR="00A464B2" w:rsidRPr="00A464B2" w:rsidRDefault="00A464B2" w:rsidP="00A464B2">
            <w:pPr>
              <w:ind w:firstLine="0"/>
              <w:jc w:val="center"/>
              <w:rPr>
                <w:szCs w:val="20"/>
              </w:rPr>
            </w:pPr>
          </w:p>
          <w:p w:rsidR="00A464B2" w:rsidRPr="00A464B2" w:rsidRDefault="00A464B2" w:rsidP="00A464B2">
            <w:pPr>
              <w:ind w:firstLine="0"/>
              <w:jc w:val="center"/>
              <w:rPr>
                <w:szCs w:val="20"/>
              </w:rPr>
            </w:pPr>
            <w:r w:rsidRPr="00A464B2">
              <w:rPr>
                <w:szCs w:val="20"/>
              </w:rPr>
              <w:t>200 – 300</w:t>
            </w:r>
          </w:p>
        </w:tc>
        <w:tc>
          <w:tcPr>
            <w:tcW w:w="918" w:type="dxa"/>
            <w:tcBorders>
              <w:top w:val="single" w:sz="4" w:space="0" w:color="auto"/>
              <w:left w:val="single" w:sz="6" w:space="0" w:color="auto"/>
              <w:bottom w:val="single" w:sz="6" w:space="0" w:color="auto"/>
              <w:right w:val="single" w:sz="6" w:space="0" w:color="auto"/>
            </w:tcBorders>
            <w:vAlign w:val="center"/>
          </w:tcPr>
          <w:p w:rsidR="00A464B2" w:rsidRPr="00A464B2" w:rsidRDefault="00A464B2" w:rsidP="00A464B2">
            <w:pPr>
              <w:ind w:firstLine="0"/>
              <w:jc w:val="center"/>
              <w:rPr>
                <w:szCs w:val="20"/>
              </w:rPr>
            </w:pPr>
          </w:p>
          <w:p w:rsidR="00A464B2" w:rsidRPr="00A464B2" w:rsidRDefault="00A464B2" w:rsidP="00A464B2">
            <w:pPr>
              <w:ind w:firstLine="0"/>
              <w:jc w:val="center"/>
              <w:rPr>
                <w:szCs w:val="20"/>
              </w:rPr>
            </w:pPr>
            <w:r w:rsidRPr="00A464B2">
              <w:rPr>
                <w:szCs w:val="20"/>
              </w:rPr>
              <w:t>300 – 500</w:t>
            </w:r>
          </w:p>
        </w:tc>
        <w:tc>
          <w:tcPr>
            <w:tcW w:w="918" w:type="dxa"/>
            <w:tcBorders>
              <w:top w:val="single" w:sz="4" w:space="0" w:color="auto"/>
              <w:left w:val="single" w:sz="6" w:space="0" w:color="auto"/>
              <w:bottom w:val="single" w:sz="6" w:space="0" w:color="auto"/>
              <w:right w:val="single" w:sz="6" w:space="0" w:color="auto"/>
            </w:tcBorders>
            <w:vAlign w:val="center"/>
          </w:tcPr>
          <w:p w:rsidR="00A464B2" w:rsidRPr="00A464B2" w:rsidRDefault="00A464B2" w:rsidP="00A464B2">
            <w:pPr>
              <w:ind w:firstLine="0"/>
              <w:jc w:val="center"/>
              <w:rPr>
                <w:szCs w:val="20"/>
              </w:rPr>
            </w:pPr>
          </w:p>
          <w:p w:rsidR="00A464B2" w:rsidRPr="00A464B2" w:rsidRDefault="00A464B2" w:rsidP="00A464B2">
            <w:pPr>
              <w:ind w:firstLine="0"/>
              <w:jc w:val="center"/>
              <w:rPr>
                <w:szCs w:val="20"/>
              </w:rPr>
            </w:pPr>
            <w:r w:rsidRPr="00A464B2">
              <w:rPr>
                <w:szCs w:val="20"/>
              </w:rPr>
              <w:t>500 – 700</w:t>
            </w:r>
          </w:p>
        </w:tc>
        <w:tc>
          <w:tcPr>
            <w:tcW w:w="918" w:type="dxa"/>
            <w:tcBorders>
              <w:top w:val="single" w:sz="4" w:space="0" w:color="auto"/>
              <w:left w:val="single" w:sz="6" w:space="0" w:color="auto"/>
              <w:bottom w:val="single" w:sz="6" w:space="0" w:color="auto"/>
              <w:right w:val="single" w:sz="6" w:space="0" w:color="auto"/>
            </w:tcBorders>
            <w:vAlign w:val="center"/>
          </w:tcPr>
          <w:p w:rsidR="00A464B2" w:rsidRPr="00A464B2" w:rsidRDefault="00A464B2" w:rsidP="00A464B2">
            <w:pPr>
              <w:ind w:firstLine="0"/>
              <w:jc w:val="center"/>
              <w:rPr>
                <w:szCs w:val="20"/>
              </w:rPr>
            </w:pPr>
          </w:p>
          <w:p w:rsidR="00A464B2" w:rsidRPr="00A464B2" w:rsidRDefault="00A464B2" w:rsidP="00A464B2">
            <w:pPr>
              <w:ind w:firstLine="0"/>
              <w:jc w:val="center"/>
              <w:rPr>
                <w:szCs w:val="20"/>
              </w:rPr>
            </w:pPr>
            <w:r w:rsidRPr="00A464B2">
              <w:rPr>
                <w:szCs w:val="20"/>
              </w:rPr>
              <w:t>700 – 800</w:t>
            </w:r>
          </w:p>
        </w:tc>
        <w:tc>
          <w:tcPr>
            <w:tcW w:w="927" w:type="dxa"/>
            <w:tcBorders>
              <w:top w:val="single" w:sz="4" w:space="0" w:color="auto"/>
              <w:left w:val="single" w:sz="6" w:space="0" w:color="auto"/>
              <w:bottom w:val="single" w:sz="6" w:space="0" w:color="auto"/>
              <w:right w:val="single" w:sz="4" w:space="0" w:color="auto"/>
            </w:tcBorders>
            <w:vAlign w:val="center"/>
          </w:tcPr>
          <w:p w:rsidR="00A464B2" w:rsidRPr="00A464B2" w:rsidRDefault="00A464B2" w:rsidP="00A464B2">
            <w:pPr>
              <w:ind w:firstLine="0"/>
              <w:jc w:val="center"/>
              <w:rPr>
                <w:szCs w:val="20"/>
              </w:rPr>
            </w:pPr>
          </w:p>
          <w:p w:rsidR="00A464B2" w:rsidRPr="00A464B2" w:rsidRDefault="00A464B2" w:rsidP="00A464B2">
            <w:pPr>
              <w:ind w:firstLine="0"/>
              <w:jc w:val="center"/>
              <w:rPr>
                <w:szCs w:val="20"/>
              </w:rPr>
            </w:pPr>
            <w:r w:rsidRPr="00A464B2">
              <w:rPr>
                <w:szCs w:val="20"/>
              </w:rPr>
              <w:t>800 – 1000</w:t>
            </w:r>
          </w:p>
        </w:tc>
      </w:tr>
      <w:tr w:rsidR="00A464B2" w:rsidTr="00A464B2">
        <w:tc>
          <w:tcPr>
            <w:tcW w:w="1162" w:type="dxa"/>
            <w:tcBorders>
              <w:top w:val="single" w:sz="6" w:space="0" w:color="auto"/>
              <w:left w:val="single" w:sz="4" w:space="0" w:color="auto"/>
              <w:bottom w:val="single" w:sz="4" w:space="0" w:color="auto"/>
              <w:right w:val="single" w:sz="6" w:space="0" w:color="auto"/>
            </w:tcBorders>
            <w:vAlign w:val="center"/>
          </w:tcPr>
          <w:p w:rsidR="00A464B2" w:rsidRPr="00A464B2" w:rsidRDefault="00A464B2" w:rsidP="00A464B2">
            <w:pPr>
              <w:ind w:firstLine="0"/>
              <w:rPr>
                <w:szCs w:val="20"/>
              </w:rPr>
            </w:pPr>
            <w:proofErr w:type="spellStart"/>
            <w:r w:rsidRPr="00A464B2">
              <w:rPr>
                <w:szCs w:val="20"/>
              </w:rPr>
              <w:t>Число</w:t>
            </w:r>
            <w:proofErr w:type="spellEnd"/>
            <w:r w:rsidRPr="00A464B2">
              <w:rPr>
                <w:szCs w:val="20"/>
              </w:rPr>
              <w:t xml:space="preserve"> </w:t>
            </w:r>
            <w:proofErr w:type="spellStart"/>
            <w:r w:rsidRPr="00A464B2">
              <w:rPr>
                <w:szCs w:val="20"/>
              </w:rPr>
              <w:t>сбоев</w:t>
            </w:r>
            <w:proofErr w:type="spellEnd"/>
            <w:r w:rsidRPr="00A464B2">
              <w:rPr>
                <w:szCs w:val="20"/>
              </w:rPr>
              <w:t xml:space="preserve"> </w:t>
            </w:r>
            <w:r w:rsidRPr="00A464B2">
              <w:rPr>
                <w:i/>
                <w:szCs w:val="20"/>
              </w:rPr>
              <w:sym w:font="Symbol" w:char="0044"/>
            </w:r>
            <w:proofErr w:type="spellStart"/>
            <w:r w:rsidRPr="00A464B2">
              <w:rPr>
                <w:i/>
                <w:szCs w:val="20"/>
              </w:rPr>
              <w:t>r</w:t>
            </w:r>
            <w:r w:rsidRPr="00A464B2">
              <w:rPr>
                <w:i/>
                <w:szCs w:val="20"/>
                <w:vertAlign w:val="subscript"/>
              </w:rPr>
              <w:t>i</w:t>
            </w:r>
            <w:proofErr w:type="spellEnd"/>
          </w:p>
        </w:tc>
        <w:tc>
          <w:tcPr>
            <w:tcW w:w="960" w:type="dxa"/>
            <w:tcBorders>
              <w:top w:val="single" w:sz="6" w:space="0" w:color="auto"/>
              <w:left w:val="single" w:sz="6" w:space="0" w:color="auto"/>
              <w:bottom w:val="single" w:sz="4" w:space="0" w:color="auto"/>
              <w:right w:val="single" w:sz="6" w:space="0" w:color="auto"/>
            </w:tcBorders>
            <w:vAlign w:val="center"/>
          </w:tcPr>
          <w:p w:rsidR="00A464B2" w:rsidRPr="00A464B2" w:rsidRDefault="00A464B2" w:rsidP="00A464B2">
            <w:pPr>
              <w:ind w:firstLine="0"/>
              <w:jc w:val="center"/>
              <w:rPr>
                <w:szCs w:val="20"/>
              </w:rPr>
            </w:pPr>
            <w:r w:rsidRPr="00A464B2">
              <w:rPr>
                <w:szCs w:val="20"/>
              </w:rPr>
              <w:t>10</w:t>
            </w:r>
          </w:p>
        </w:tc>
        <w:tc>
          <w:tcPr>
            <w:tcW w:w="876" w:type="dxa"/>
            <w:tcBorders>
              <w:top w:val="single" w:sz="6" w:space="0" w:color="auto"/>
              <w:left w:val="single" w:sz="6" w:space="0" w:color="auto"/>
              <w:bottom w:val="single" w:sz="4" w:space="0" w:color="auto"/>
              <w:right w:val="single" w:sz="6" w:space="0" w:color="auto"/>
            </w:tcBorders>
            <w:vAlign w:val="center"/>
          </w:tcPr>
          <w:p w:rsidR="00A464B2" w:rsidRPr="00A464B2" w:rsidRDefault="00A464B2" w:rsidP="00A464B2">
            <w:pPr>
              <w:ind w:firstLine="0"/>
              <w:jc w:val="center"/>
              <w:rPr>
                <w:szCs w:val="20"/>
              </w:rPr>
            </w:pPr>
            <w:r w:rsidRPr="00A464B2">
              <w:rPr>
                <w:szCs w:val="20"/>
              </w:rPr>
              <w:t>20</w:t>
            </w:r>
          </w:p>
        </w:tc>
        <w:tc>
          <w:tcPr>
            <w:tcW w:w="918" w:type="dxa"/>
            <w:tcBorders>
              <w:top w:val="single" w:sz="6" w:space="0" w:color="auto"/>
              <w:left w:val="single" w:sz="6" w:space="0" w:color="auto"/>
              <w:bottom w:val="single" w:sz="4" w:space="0" w:color="auto"/>
              <w:right w:val="single" w:sz="6" w:space="0" w:color="auto"/>
            </w:tcBorders>
            <w:vAlign w:val="center"/>
          </w:tcPr>
          <w:p w:rsidR="00A464B2" w:rsidRPr="00A464B2" w:rsidRDefault="00A464B2" w:rsidP="00A464B2">
            <w:pPr>
              <w:ind w:firstLine="0"/>
              <w:jc w:val="center"/>
              <w:rPr>
                <w:szCs w:val="20"/>
              </w:rPr>
            </w:pPr>
            <w:r w:rsidRPr="00A464B2">
              <w:rPr>
                <w:szCs w:val="20"/>
              </w:rPr>
              <w:t>25</w:t>
            </w:r>
          </w:p>
        </w:tc>
        <w:tc>
          <w:tcPr>
            <w:tcW w:w="918" w:type="dxa"/>
            <w:tcBorders>
              <w:top w:val="single" w:sz="6" w:space="0" w:color="auto"/>
              <w:left w:val="single" w:sz="6" w:space="0" w:color="auto"/>
              <w:bottom w:val="single" w:sz="4" w:space="0" w:color="auto"/>
              <w:right w:val="single" w:sz="6" w:space="0" w:color="auto"/>
            </w:tcBorders>
            <w:vAlign w:val="center"/>
          </w:tcPr>
          <w:p w:rsidR="00A464B2" w:rsidRPr="00A464B2" w:rsidRDefault="00A464B2" w:rsidP="00A464B2">
            <w:pPr>
              <w:ind w:firstLine="0"/>
              <w:jc w:val="center"/>
              <w:rPr>
                <w:szCs w:val="20"/>
              </w:rPr>
            </w:pPr>
            <w:r w:rsidRPr="00A464B2">
              <w:rPr>
                <w:szCs w:val="20"/>
              </w:rPr>
              <w:t>30</w:t>
            </w:r>
          </w:p>
        </w:tc>
        <w:tc>
          <w:tcPr>
            <w:tcW w:w="918" w:type="dxa"/>
            <w:tcBorders>
              <w:top w:val="single" w:sz="6" w:space="0" w:color="auto"/>
              <w:left w:val="single" w:sz="6" w:space="0" w:color="auto"/>
              <w:bottom w:val="single" w:sz="4" w:space="0" w:color="auto"/>
              <w:right w:val="single" w:sz="6" w:space="0" w:color="auto"/>
            </w:tcBorders>
            <w:vAlign w:val="center"/>
          </w:tcPr>
          <w:p w:rsidR="00A464B2" w:rsidRPr="00A464B2" w:rsidRDefault="00A464B2" w:rsidP="00A464B2">
            <w:pPr>
              <w:ind w:firstLine="0"/>
              <w:jc w:val="center"/>
              <w:rPr>
                <w:szCs w:val="20"/>
              </w:rPr>
            </w:pPr>
            <w:r w:rsidRPr="00A464B2">
              <w:rPr>
                <w:szCs w:val="20"/>
              </w:rPr>
              <w:t>20</w:t>
            </w:r>
          </w:p>
        </w:tc>
        <w:tc>
          <w:tcPr>
            <w:tcW w:w="927" w:type="dxa"/>
            <w:tcBorders>
              <w:top w:val="single" w:sz="6" w:space="0" w:color="auto"/>
              <w:left w:val="single" w:sz="6" w:space="0" w:color="auto"/>
              <w:bottom w:val="single" w:sz="4" w:space="0" w:color="auto"/>
              <w:right w:val="single" w:sz="4" w:space="0" w:color="auto"/>
            </w:tcBorders>
            <w:vAlign w:val="center"/>
          </w:tcPr>
          <w:p w:rsidR="00A464B2" w:rsidRPr="00A464B2" w:rsidRDefault="00A464B2" w:rsidP="00A464B2">
            <w:pPr>
              <w:ind w:firstLine="0"/>
              <w:jc w:val="center"/>
              <w:rPr>
                <w:szCs w:val="20"/>
              </w:rPr>
            </w:pPr>
            <w:r w:rsidRPr="00A464B2">
              <w:rPr>
                <w:szCs w:val="20"/>
              </w:rPr>
              <w:t>15</w:t>
            </w:r>
          </w:p>
        </w:tc>
      </w:tr>
    </w:tbl>
    <w:p w:rsidR="00A464B2" w:rsidRDefault="00A464B2" w:rsidP="00A464B2">
      <w:pPr>
        <w:ind w:firstLine="397"/>
        <w:rPr>
          <w:lang w:val="ru-RU"/>
        </w:rPr>
      </w:pPr>
    </w:p>
    <w:p w:rsidR="00A464B2" w:rsidRPr="00A464B2" w:rsidRDefault="00A464B2" w:rsidP="00A464B2">
      <w:pPr>
        <w:ind w:firstLine="397"/>
        <w:rPr>
          <w:lang w:val="ru-RU"/>
        </w:rPr>
      </w:pPr>
      <w:r w:rsidRPr="00A464B2">
        <w:rPr>
          <w:lang w:val="ru-RU"/>
        </w:rPr>
        <w:t xml:space="preserve">Значения статистической оценки интенсивности отказов </w:t>
      </w:r>
      <w:r w:rsidRPr="00A464B2">
        <w:rPr>
          <w:i/>
          <w:lang w:val="ru-RU"/>
        </w:rPr>
        <w:sym w:font="Symbol" w:char="006C"/>
      </w:r>
      <w:r w:rsidRPr="00A464B2">
        <w:rPr>
          <w:i/>
          <w:vertAlign w:val="superscript"/>
          <w:lang w:val="ru-RU"/>
        </w:rPr>
        <w:t>*</w:t>
      </w:r>
      <w:r w:rsidRPr="00A464B2">
        <w:rPr>
          <w:i/>
          <w:lang w:val="ru-RU"/>
        </w:rPr>
        <w:t>(</w:t>
      </w:r>
      <w:r w:rsidRPr="00A464B2">
        <w:rPr>
          <w:i/>
        </w:rPr>
        <w:t>t</w:t>
      </w:r>
      <w:r w:rsidRPr="00A464B2">
        <w:rPr>
          <w:i/>
          <w:lang w:val="ru-RU"/>
        </w:rPr>
        <w:t>)</w:t>
      </w:r>
      <w:r w:rsidRPr="00A464B2">
        <w:rPr>
          <w:lang w:val="ru-RU"/>
        </w:rPr>
        <w:t xml:space="preserve"> рассчитаны по формуле</w:t>
      </w:r>
    </w:p>
    <w:p w:rsidR="00A464B2" w:rsidRPr="00A464B2" w:rsidRDefault="00A464B2" w:rsidP="00A464B2">
      <w:pPr>
        <w:ind w:firstLine="397"/>
        <w:rPr>
          <w:lang w:val="ru-RU"/>
        </w:rPr>
      </w:pPr>
      <m:oMathPara>
        <m:oMath>
          <m:sSup>
            <m:sSupPr>
              <m:ctrlPr>
                <w:rPr>
                  <w:rFonts w:ascii="Cambria Math" w:hAnsi="Cambria Math"/>
                  <w:i/>
                  <w:lang w:val="ru-RU"/>
                </w:rPr>
              </m:ctrlPr>
            </m:sSupPr>
            <m:e>
              <m:r>
                <w:rPr>
                  <w:rFonts w:ascii="Cambria Math" w:hAnsi="Cambria Math"/>
                  <w:lang w:val="ru-RU"/>
                </w:rPr>
                <m:t>λ</m:t>
              </m:r>
            </m:e>
            <m:sup>
              <m:r>
                <w:rPr>
                  <w:rFonts w:ascii="Cambria Math" w:hAnsi="Cambria Math"/>
                  <w:lang w:val="ru-RU"/>
                </w:rPr>
                <m:t>*</m:t>
              </m:r>
            </m:sup>
          </m:sSup>
          <m:d>
            <m:dPr>
              <m:ctrlPr>
                <w:rPr>
                  <w:rFonts w:ascii="Cambria Math" w:hAnsi="Cambria Math"/>
                  <w:i/>
                  <w:lang w:val="ru-RU"/>
                </w:rPr>
              </m:ctrlPr>
            </m:dPr>
            <m:e>
              <m:r>
                <w:rPr>
                  <w:rFonts w:ascii="Cambria Math" w:hAnsi="Cambria Math"/>
                  <w:lang w:val="ru-RU"/>
                </w:rPr>
                <m:t>t</m:t>
              </m:r>
            </m:e>
          </m:d>
          <m:r>
            <w:rPr>
              <w:rFonts w:ascii="Cambria Math" w:hAnsi="Cambria Math"/>
              <w:lang w:val="ru-RU"/>
            </w:rPr>
            <m:t>=</m:t>
          </m:r>
          <m:f>
            <m:fPr>
              <m:ctrlPr>
                <w:rPr>
                  <w:rFonts w:ascii="Cambria Math" w:hAnsi="Cambria Math"/>
                  <w:i/>
                  <w:lang w:val="ru-RU"/>
                </w:rPr>
              </m:ctrlPr>
            </m:fPr>
            <m:num>
              <m:r>
                <w:rPr>
                  <w:rFonts w:ascii="Cambria Math" w:hAnsi="Cambria Math"/>
                  <w:lang w:val="ru-RU"/>
                </w:rPr>
                <m:t>Δ</m:t>
              </m:r>
              <m:sSub>
                <m:sSubPr>
                  <m:ctrlPr>
                    <w:rPr>
                      <w:rFonts w:ascii="Cambria Math" w:hAnsi="Cambria Math"/>
                      <w:i/>
                      <w:lang w:val="ru-RU"/>
                    </w:rPr>
                  </m:ctrlPr>
                </m:sSubPr>
                <m:e>
                  <m:r>
                    <w:rPr>
                      <w:rFonts w:ascii="Cambria Math" w:hAnsi="Cambria Math"/>
                      <w:lang w:val="ru-RU"/>
                    </w:rPr>
                    <m:t>r</m:t>
                  </m:r>
                </m:e>
                <m:sub>
                  <m:r>
                    <w:rPr>
                      <w:rFonts w:ascii="Cambria Math" w:hAnsi="Cambria Math"/>
                      <w:lang w:val="ru-RU"/>
                    </w:rPr>
                    <m:t>i</m:t>
                  </m:r>
                </m:sub>
              </m:sSub>
            </m:num>
            <m:den>
              <m:d>
                <m:dPr>
                  <m:ctrlPr>
                    <w:rPr>
                      <w:rFonts w:ascii="Cambria Math" w:hAnsi="Cambria Math"/>
                      <w:i/>
                      <w:lang w:val="ru-RU"/>
                    </w:rPr>
                  </m:ctrlPr>
                </m:dPr>
                <m:e>
                  <m:r>
                    <w:rPr>
                      <w:rFonts w:ascii="Cambria Math" w:hAnsi="Cambria Math"/>
                      <w:lang w:val="ru-RU"/>
                    </w:rPr>
                    <m:t>N-</m:t>
                  </m:r>
                  <m:sSub>
                    <m:sSubPr>
                      <m:ctrlPr>
                        <w:rPr>
                          <w:rFonts w:ascii="Cambria Math" w:hAnsi="Cambria Math"/>
                          <w:i/>
                          <w:lang w:val="ru-RU"/>
                        </w:rPr>
                      </m:ctrlPr>
                    </m:sSubPr>
                    <m:e>
                      <m:r>
                        <w:rPr>
                          <w:rFonts w:ascii="Cambria Math" w:hAnsi="Cambria Math"/>
                          <w:lang w:val="ru-RU"/>
                        </w:rPr>
                        <m:t>r</m:t>
                      </m:r>
                    </m:e>
                    <m:sub>
                      <m:r>
                        <w:rPr>
                          <w:rFonts w:ascii="Cambria Math" w:hAnsi="Cambria Math"/>
                          <w:lang w:val="ru-RU"/>
                        </w:rPr>
                        <m:t>i-1</m:t>
                      </m:r>
                    </m:sub>
                  </m:sSub>
                </m:e>
              </m:d>
              <m:r>
                <w:rPr>
                  <w:rFonts w:ascii="Cambria Math" w:hAnsi="Cambria Math"/>
                  <w:lang w:val="ru-RU"/>
                </w:rPr>
                <m:t>Δ</m:t>
              </m:r>
              <m:sSub>
                <m:sSubPr>
                  <m:ctrlPr>
                    <w:rPr>
                      <w:rFonts w:ascii="Cambria Math" w:hAnsi="Cambria Math"/>
                      <w:i/>
                      <w:lang w:val="ru-RU"/>
                    </w:rPr>
                  </m:ctrlPr>
                </m:sSubPr>
                <m:e>
                  <m:r>
                    <w:rPr>
                      <w:rFonts w:ascii="Cambria Math" w:hAnsi="Cambria Math"/>
                      <w:lang w:val="ru-RU"/>
                    </w:rPr>
                    <m:t>t</m:t>
                  </m:r>
                </m:e>
                <m:sub>
                  <m:r>
                    <w:rPr>
                      <w:rFonts w:ascii="Cambria Math" w:hAnsi="Cambria Math"/>
                      <w:lang w:val="ru-RU"/>
                    </w:rPr>
                    <m:t>i</m:t>
                  </m:r>
                </m:sub>
              </m:sSub>
            </m:den>
          </m:f>
        </m:oMath>
      </m:oMathPara>
    </w:p>
    <w:p w:rsidR="00A464B2" w:rsidRPr="00A464B2" w:rsidRDefault="00A464B2" w:rsidP="00A464B2">
      <w:pPr>
        <w:ind w:firstLine="397"/>
        <w:rPr>
          <w:lang w:val="ru-RU"/>
        </w:rPr>
      </w:pPr>
      <w:r w:rsidRPr="00A464B2">
        <w:rPr>
          <w:lang w:val="ru-RU"/>
        </w:rPr>
        <w:t>и представлены на графике (рис.2).</w:t>
      </w:r>
    </w:p>
    <w:p w:rsidR="00A464B2" w:rsidRDefault="00A464B2" w:rsidP="00A464B2">
      <w:pPr>
        <w:ind w:firstLine="397"/>
        <w:jc w:val="center"/>
        <w:rPr>
          <w:lang w:val="ru-RU"/>
        </w:rPr>
      </w:pPr>
      <w:r>
        <w:rPr>
          <w:noProof/>
          <w:lang w:val="ru-RU" w:eastAsia="ru-RU" w:bidi="ar-SA"/>
        </w:rPr>
        <w:lastRenderedPageBreak/>
        <w:drawing>
          <wp:inline distT="0" distB="0" distL="0" distR="0" wp14:anchorId="5AD7E67D">
            <wp:extent cx="3763795" cy="2066925"/>
            <wp:effectExtent l="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3174" cy="2072076"/>
                    </a:xfrm>
                    <a:prstGeom prst="rect">
                      <a:avLst/>
                    </a:prstGeom>
                    <a:noFill/>
                  </pic:spPr>
                </pic:pic>
              </a:graphicData>
            </a:graphic>
          </wp:inline>
        </w:drawing>
      </w:r>
    </w:p>
    <w:p w:rsidR="00A464B2" w:rsidRPr="00A464B2" w:rsidRDefault="00A464B2" w:rsidP="00A464B2">
      <w:pPr>
        <w:ind w:firstLine="397"/>
        <w:jc w:val="center"/>
        <w:rPr>
          <w:lang w:val="ru-RU"/>
        </w:rPr>
      </w:pPr>
      <w:r w:rsidRPr="00A464B2">
        <w:rPr>
          <w:i/>
          <w:iCs/>
          <w:lang w:val="ru-RU"/>
        </w:rPr>
        <w:t xml:space="preserve">Рис. </w:t>
      </w:r>
      <w:r>
        <w:rPr>
          <w:i/>
          <w:iCs/>
          <w:lang w:val="ru-RU"/>
        </w:rPr>
        <w:t>2</w:t>
      </w:r>
      <w:r w:rsidRPr="00A464B2">
        <w:rPr>
          <w:i/>
          <w:iCs/>
          <w:lang w:val="ru-RU"/>
        </w:rPr>
        <w:t>. Статистическая оценка интенсивности отказов</w:t>
      </w:r>
    </w:p>
    <w:p w:rsidR="00A464B2" w:rsidRDefault="00A464B2" w:rsidP="00780E80">
      <w:pPr>
        <w:ind w:firstLine="397"/>
        <w:rPr>
          <w:lang w:val="ru-RU"/>
        </w:rPr>
      </w:pPr>
    </w:p>
    <w:p w:rsidR="00A464B2" w:rsidRPr="00A464B2" w:rsidRDefault="00A464B2" w:rsidP="00A464B2">
      <w:pPr>
        <w:ind w:firstLine="397"/>
        <w:rPr>
          <w:b/>
          <w:lang w:val="ru-RU"/>
        </w:rPr>
      </w:pPr>
      <w:r w:rsidRPr="00A464B2">
        <w:rPr>
          <w:lang w:val="ru-RU"/>
        </w:rPr>
        <w:t xml:space="preserve">В случае если в каждом интервале времени было несколько сбоев, график статистической оценки интенсивности отказов </w:t>
      </w:r>
      <m:oMath>
        <m:sSup>
          <m:sSupPr>
            <m:ctrlPr>
              <w:rPr>
                <w:rFonts w:ascii="Cambria Math" w:hAnsi="Cambria Math"/>
                <w:i/>
                <w:lang w:val="ru-RU"/>
              </w:rPr>
            </m:ctrlPr>
          </m:sSupPr>
          <m:e>
            <m:r>
              <w:rPr>
                <w:rFonts w:ascii="Cambria Math" w:hAnsi="Cambria Math"/>
                <w:lang w:val="ru-RU"/>
              </w:rPr>
              <m:t>λ</m:t>
            </m:r>
          </m:e>
          <m:sup>
            <m:r>
              <w:rPr>
                <w:rFonts w:ascii="Cambria Math" w:hAnsi="Cambria Math"/>
                <w:lang w:val="ru-RU"/>
              </w:rPr>
              <m:t>*</m:t>
            </m:r>
          </m:sup>
        </m:sSup>
        <m:d>
          <m:dPr>
            <m:ctrlPr>
              <w:rPr>
                <w:rFonts w:ascii="Cambria Math" w:hAnsi="Cambria Math"/>
                <w:i/>
                <w:lang w:val="ru-RU"/>
              </w:rPr>
            </m:ctrlPr>
          </m:dPr>
          <m:e>
            <m:r>
              <w:rPr>
                <w:rFonts w:ascii="Cambria Math" w:hAnsi="Cambria Math"/>
                <w:lang w:val="ru-RU"/>
              </w:rPr>
              <m:t>t</m:t>
            </m:r>
          </m:e>
        </m:d>
      </m:oMath>
      <w:r w:rsidRPr="00A464B2">
        <w:rPr>
          <w:lang w:val="ru-RU"/>
        </w:rPr>
        <w:t xml:space="preserve"> никак не изменится, т.к. </w:t>
      </w:r>
      <m:oMath>
        <m:r>
          <m:rPr>
            <m:sty m:val="bi"/>
          </m:rPr>
          <w:rPr>
            <w:rFonts w:ascii="Cambria Math" w:hAnsi="Cambria Math"/>
            <w:lang w:val="ru-RU"/>
          </w:rPr>
          <m:t>Δ</m:t>
        </m:r>
        <m:sSub>
          <m:sSubPr>
            <m:ctrlPr>
              <w:rPr>
                <w:rFonts w:ascii="Cambria Math" w:hAnsi="Cambria Math"/>
                <w:b/>
                <w:i/>
                <w:lang w:val="ru-RU"/>
              </w:rPr>
            </m:ctrlPr>
          </m:sSubPr>
          <m:e>
            <m:r>
              <m:rPr>
                <m:sty m:val="bi"/>
              </m:rPr>
              <w:rPr>
                <w:rFonts w:ascii="Cambria Math" w:hAnsi="Cambria Math"/>
                <w:lang w:val="ru-RU"/>
              </w:rPr>
              <m:t>r</m:t>
            </m:r>
          </m:e>
          <m:sub>
            <m:r>
              <m:rPr>
                <m:sty m:val="bi"/>
              </m:rPr>
              <w:rPr>
                <w:rFonts w:ascii="Cambria Math" w:hAnsi="Cambria Math"/>
                <w:lang w:val="ru-RU"/>
              </w:rPr>
              <m:t>i</m:t>
            </m:r>
          </m:sub>
        </m:sSub>
      </m:oMath>
      <w:r w:rsidRPr="00A464B2">
        <w:rPr>
          <w:b/>
          <w:lang w:val="ru-RU"/>
        </w:rPr>
        <w:t xml:space="preserve"> – </w:t>
      </w:r>
      <w:r w:rsidRPr="00A464B2">
        <w:rPr>
          <w:lang w:val="ru-RU"/>
        </w:rPr>
        <w:t xml:space="preserve">число отказов на </w:t>
      </w:r>
      <m:oMath>
        <m:r>
          <w:rPr>
            <w:rFonts w:ascii="Cambria Math" w:hAnsi="Cambria Math"/>
            <w:lang w:val="ru-RU"/>
          </w:rPr>
          <m:t>Δ</m:t>
        </m:r>
        <m:sSub>
          <m:sSubPr>
            <m:ctrlPr>
              <w:rPr>
                <w:rFonts w:ascii="Cambria Math" w:hAnsi="Cambria Math"/>
                <w:i/>
                <w:lang w:val="ru-RU"/>
              </w:rPr>
            </m:ctrlPr>
          </m:sSubPr>
          <m:e>
            <m:r>
              <w:rPr>
                <w:rFonts w:ascii="Cambria Math" w:hAnsi="Cambria Math"/>
                <w:lang w:val="ru-RU"/>
              </w:rPr>
              <m:t>t</m:t>
            </m:r>
          </m:e>
          <m:sub>
            <m:r>
              <w:rPr>
                <w:rFonts w:ascii="Cambria Math" w:hAnsi="Cambria Math"/>
                <w:lang w:val="ru-RU"/>
              </w:rPr>
              <m:t>i</m:t>
            </m:r>
          </m:sub>
        </m:sSub>
      </m:oMath>
      <w:r w:rsidRPr="00A464B2">
        <w:rPr>
          <w:lang w:val="ru-RU"/>
        </w:rPr>
        <w:t xml:space="preserve"> и </w:t>
      </w:r>
      <m:oMath>
        <m:r>
          <w:rPr>
            <w:rFonts w:ascii="Cambria Math" w:hAnsi="Cambria Math"/>
            <w:lang w:val="ru-RU"/>
          </w:rPr>
          <m:t>t</m:t>
        </m:r>
      </m:oMath>
      <w:r w:rsidRPr="00A464B2">
        <w:rPr>
          <w:lang w:val="ru-RU"/>
        </w:rPr>
        <w:t>, на котором все отказы суммируются на всем его протяжении, очень мало, следовательно, можно не учитывать.</w:t>
      </w:r>
    </w:p>
    <w:p w:rsidR="00A464B2" w:rsidRPr="00A464B2" w:rsidRDefault="00A464B2" w:rsidP="00A464B2">
      <w:pPr>
        <w:ind w:firstLine="397"/>
        <w:rPr>
          <w:lang w:val="ru-RU"/>
        </w:rPr>
      </w:pPr>
      <w:r w:rsidRPr="00A464B2">
        <w:rPr>
          <w:lang w:val="ru-RU"/>
        </w:rPr>
        <w:t>Для данных, приведенных в таблице 1, вычислим по формуле</w:t>
      </w:r>
    </w:p>
    <w:p w:rsidR="00A464B2" w:rsidRPr="00A464B2" w:rsidRDefault="00A464B2" w:rsidP="00A464B2">
      <w:pPr>
        <w:ind w:firstLine="397"/>
        <w:rPr>
          <w:lang w:val="ru-RU"/>
        </w:rPr>
      </w:pPr>
      <m:oMathPara>
        <m:oMath>
          <m:sSubSup>
            <m:sSubSupPr>
              <m:ctrlPr>
                <w:rPr>
                  <w:rFonts w:ascii="Cambria Math" w:hAnsi="Cambria Math"/>
                  <w:i/>
                  <w:lang w:val="ru-RU"/>
                </w:rPr>
              </m:ctrlPr>
            </m:sSubSupPr>
            <m:e>
              <m:r>
                <w:rPr>
                  <w:rFonts w:ascii="Cambria Math" w:hAnsi="Cambria Math"/>
                  <w:lang w:val="ru-RU"/>
                </w:rPr>
                <m:t>P</m:t>
              </m:r>
            </m:e>
            <m:sub>
              <m:r>
                <w:rPr>
                  <w:rFonts w:ascii="Cambria Math" w:hAnsi="Cambria Math"/>
                  <w:lang w:val="ru-RU"/>
                </w:rPr>
                <m:t>i</m:t>
              </m:r>
            </m:sub>
            <m:sup>
              <m:r>
                <w:rPr>
                  <w:rFonts w:ascii="Cambria Math" w:hAnsi="Cambria Math"/>
                  <w:lang w:val="ru-RU"/>
                </w:rPr>
                <m:t>*</m:t>
              </m:r>
            </m:sup>
          </m:sSubSup>
          <m:r>
            <w:rPr>
              <w:rFonts w:ascii="Cambria Math" w:hAnsi="Cambria Math"/>
              <w:lang w:val="ru-RU"/>
            </w:rPr>
            <m:t>=1-</m:t>
          </m:r>
          <m:f>
            <m:fPr>
              <m:ctrlPr>
                <w:rPr>
                  <w:rFonts w:ascii="Cambria Math" w:hAnsi="Cambria Math"/>
                  <w:i/>
                  <w:lang w:val="ru-RU"/>
                </w:rPr>
              </m:ctrlPr>
            </m:fPr>
            <m:num>
              <m:sSub>
                <m:sSubPr>
                  <m:ctrlPr>
                    <w:rPr>
                      <w:rFonts w:ascii="Cambria Math" w:hAnsi="Cambria Math"/>
                      <w:i/>
                      <w:lang w:val="ru-RU"/>
                    </w:rPr>
                  </m:ctrlPr>
                </m:sSubPr>
                <m:e>
                  <m:r>
                    <w:rPr>
                      <w:rFonts w:ascii="Cambria Math" w:hAnsi="Cambria Math"/>
                      <w:lang w:val="ru-RU"/>
                    </w:rPr>
                    <m:t>r</m:t>
                  </m:r>
                </m:e>
                <m:sub>
                  <m:r>
                    <w:rPr>
                      <w:rFonts w:ascii="Cambria Math" w:hAnsi="Cambria Math"/>
                      <w:lang w:val="ru-RU"/>
                    </w:rPr>
                    <m:t>i</m:t>
                  </m:r>
                </m:sub>
              </m:sSub>
            </m:num>
            <m:den>
              <m:r>
                <w:rPr>
                  <w:rFonts w:ascii="Cambria Math" w:hAnsi="Cambria Math"/>
                  <w:lang w:val="ru-RU"/>
                </w:rPr>
                <m:t>N</m:t>
              </m:r>
            </m:den>
          </m:f>
        </m:oMath>
      </m:oMathPara>
    </w:p>
    <w:p w:rsidR="00A464B2" w:rsidRPr="00A464B2" w:rsidRDefault="00A464B2" w:rsidP="000B6D2A">
      <w:pPr>
        <w:ind w:firstLine="0"/>
        <w:rPr>
          <w:lang w:val="ru-RU"/>
        </w:rPr>
      </w:pPr>
      <w:r w:rsidRPr="00A464B2">
        <w:rPr>
          <w:lang w:val="ru-RU"/>
        </w:rPr>
        <w:t xml:space="preserve">оценки вероятности безотказной работы в течение каждого </w:t>
      </w:r>
      <w:proofErr w:type="spellStart"/>
      <w:r w:rsidRPr="00A464B2">
        <w:rPr>
          <w:i/>
        </w:rPr>
        <w:t>i</w:t>
      </w:r>
      <w:proofErr w:type="spellEnd"/>
      <w:r w:rsidRPr="00A464B2">
        <w:rPr>
          <w:lang w:val="ru-RU"/>
        </w:rPr>
        <w:t xml:space="preserve">-ого интервала наработки  </w:t>
      </w:r>
      <m:oMath>
        <m:sSub>
          <m:sSubPr>
            <m:ctrlPr>
              <w:rPr>
                <w:rFonts w:ascii="Cambria Math" w:hAnsi="Cambria Math"/>
                <w:i/>
                <w:lang w:val="ru-RU"/>
              </w:rPr>
            </m:ctrlPr>
          </m:sSubPr>
          <m:e>
            <m:r>
              <w:rPr>
                <w:rFonts w:ascii="Cambria Math" w:hAnsi="Cambria Math"/>
                <w:lang w:val="ru-RU"/>
              </w:rPr>
              <m:t>t</m:t>
            </m:r>
          </m:e>
          <m:sub>
            <m:r>
              <w:rPr>
                <w:rFonts w:ascii="Cambria Math" w:hAnsi="Cambria Math"/>
                <w:lang w:val="ru-RU"/>
              </w:rPr>
              <m:t>i</m:t>
            </m:r>
          </m:sub>
        </m:sSub>
      </m:oMath>
      <w:r w:rsidRPr="00A464B2">
        <w:rPr>
          <w:lang w:val="ru-RU"/>
        </w:rPr>
        <w:t xml:space="preserve">и построим график статистической функции надежности </w:t>
      </w:r>
      <w:r w:rsidRPr="00A464B2">
        <w:rPr>
          <w:i/>
        </w:rPr>
        <w:t>P</w:t>
      </w:r>
      <w:r w:rsidRPr="00A464B2">
        <w:rPr>
          <w:i/>
          <w:vertAlign w:val="superscript"/>
          <w:lang w:val="ru-RU"/>
        </w:rPr>
        <w:t>*</w:t>
      </w:r>
      <w:r w:rsidRPr="00A464B2">
        <w:rPr>
          <w:i/>
          <w:lang w:val="ru-RU"/>
        </w:rPr>
        <w:t>(</w:t>
      </w:r>
      <w:r w:rsidRPr="00A464B2">
        <w:rPr>
          <w:i/>
        </w:rPr>
        <w:t>t</w:t>
      </w:r>
      <w:r w:rsidRPr="00A464B2">
        <w:rPr>
          <w:i/>
          <w:lang w:val="ru-RU"/>
        </w:rPr>
        <w:t>)</w:t>
      </w:r>
      <w:r w:rsidRPr="00A464B2">
        <w:rPr>
          <w:b/>
          <w:lang w:val="ru-RU"/>
        </w:rPr>
        <w:t xml:space="preserve"> </w:t>
      </w:r>
      <w:r w:rsidRPr="00A464B2">
        <w:rPr>
          <w:lang w:val="ru-RU"/>
        </w:rPr>
        <w:t>(рис.3).</w:t>
      </w:r>
    </w:p>
    <w:p w:rsidR="00A464B2" w:rsidRDefault="00A464B2" w:rsidP="00A464B2">
      <w:pPr>
        <w:ind w:firstLine="397"/>
        <w:jc w:val="center"/>
        <w:rPr>
          <w:lang w:val="ru-RU"/>
        </w:rPr>
      </w:pPr>
      <w:r>
        <w:rPr>
          <w:noProof/>
          <w:lang w:val="ru-RU" w:eastAsia="ru-RU" w:bidi="ar-SA"/>
        </w:rPr>
        <w:drawing>
          <wp:inline distT="0" distB="0" distL="0" distR="0" wp14:anchorId="4FC8FD2E">
            <wp:extent cx="3552328" cy="2076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8172" cy="2079866"/>
                    </a:xfrm>
                    <a:prstGeom prst="rect">
                      <a:avLst/>
                    </a:prstGeom>
                    <a:noFill/>
                  </pic:spPr>
                </pic:pic>
              </a:graphicData>
            </a:graphic>
          </wp:inline>
        </w:drawing>
      </w:r>
    </w:p>
    <w:p w:rsidR="00A464B2" w:rsidRPr="00A464B2" w:rsidRDefault="00A464B2" w:rsidP="00A464B2">
      <w:pPr>
        <w:ind w:firstLine="397"/>
        <w:jc w:val="center"/>
        <w:rPr>
          <w:lang w:val="ru-RU"/>
        </w:rPr>
      </w:pPr>
      <w:r w:rsidRPr="00A464B2">
        <w:rPr>
          <w:i/>
          <w:iCs/>
          <w:lang w:val="ru-RU"/>
        </w:rPr>
        <w:t xml:space="preserve">Рис. </w:t>
      </w:r>
      <w:r>
        <w:rPr>
          <w:i/>
          <w:iCs/>
          <w:lang w:val="ru-RU"/>
        </w:rPr>
        <w:t>3</w:t>
      </w:r>
      <w:r w:rsidRPr="00A464B2">
        <w:rPr>
          <w:i/>
          <w:iCs/>
          <w:lang w:val="ru-RU"/>
        </w:rPr>
        <w:t>. График статистической функции надежности</w:t>
      </w:r>
    </w:p>
    <w:p w:rsidR="00A464B2" w:rsidRDefault="00A464B2" w:rsidP="00A464B2">
      <w:pPr>
        <w:ind w:firstLine="397"/>
        <w:jc w:val="center"/>
        <w:rPr>
          <w:lang w:val="ru-RU"/>
        </w:rPr>
      </w:pPr>
    </w:p>
    <w:p w:rsidR="00A464B2" w:rsidRDefault="00A464B2" w:rsidP="00780E80">
      <w:pPr>
        <w:ind w:firstLine="397"/>
        <w:rPr>
          <w:lang w:val="ru-RU"/>
        </w:rPr>
      </w:pPr>
    </w:p>
    <w:p w:rsidR="00201AAF" w:rsidRDefault="00201AAF" w:rsidP="00201AAF">
      <w:pPr>
        <w:ind w:firstLine="397"/>
        <w:rPr>
          <w:b/>
          <w:lang w:val="ru-RU"/>
        </w:rPr>
      </w:pPr>
    </w:p>
    <w:p w:rsidR="00201AAF" w:rsidRPr="00201AAF" w:rsidRDefault="00201AAF" w:rsidP="00201AAF">
      <w:pPr>
        <w:ind w:firstLine="397"/>
        <w:rPr>
          <w:b/>
          <w:lang w:val="ru-RU"/>
        </w:rPr>
      </w:pPr>
      <w:r w:rsidRPr="00201AAF">
        <w:rPr>
          <w:b/>
          <w:lang w:val="ru-RU"/>
        </w:rPr>
        <w:lastRenderedPageBreak/>
        <w:t>Заключение</w:t>
      </w:r>
    </w:p>
    <w:p w:rsidR="00580823" w:rsidRPr="00780E80" w:rsidRDefault="00201AAF" w:rsidP="00201AAF">
      <w:pPr>
        <w:ind w:firstLine="397"/>
        <w:rPr>
          <w:lang w:val="ru-RU"/>
        </w:rPr>
      </w:pPr>
      <w:r w:rsidRPr="00201AAF">
        <w:rPr>
          <w:lang w:val="ru-RU"/>
        </w:rPr>
        <w:t>Предложенный подход, на наш взгляд, позволяет прогнозировать показатели надежности программного обеспечения на стадии проектирования ЛВС.</w:t>
      </w:r>
    </w:p>
    <w:p w:rsidR="00780E80" w:rsidRPr="00780E80" w:rsidRDefault="00780E80" w:rsidP="00780E80">
      <w:pPr>
        <w:ind w:firstLine="397"/>
        <w:rPr>
          <w:lang w:val="ru-RU"/>
        </w:rPr>
      </w:pPr>
    </w:p>
    <w:p w:rsidR="004576B7" w:rsidRPr="00085F61" w:rsidRDefault="004576B7" w:rsidP="004576B7">
      <w:pPr>
        <w:pStyle w:val="aa"/>
        <w:rPr>
          <w:sz w:val="18"/>
          <w:szCs w:val="18"/>
          <w:lang w:val="ru-RU"/>
        </w:rPr>
      </w:pPr>
    </w:p>
    <w:p w:rsidR="00DA0C9C" w:rsidRPr="00E25AE7" w:rsidRDefault="004576B7" w:rsidP="00E25AE7">
      <w:pPr>
        <w:spacing w:after="100"/>
        <w:jc w:val="center"/>
        <w:rPr>
          <w:b/>
          <w:sz w:val="18"/>
          <w:szCs w:val="18"/>
          <w:lang w:val="ru-RU"/>
        </w:rPr>
      </w:pPr>
      <w:r w:rsidRPr="00E25AE7">
        <w:rPr>
          <w:b/>
          <w:sz w:val="18"/>
          <w:szCs w:val="18"/>
          <w:lang w:val="ru-RU"/>
        </w:rPr>
        <w:t>Список литературы</w:t>
      </w:r>
    </w:p>
    <w:p w:rsidR="00201AAF" w:rsidRDefault="00201AAF" w:rsidP="00201AAF">
      <w:pPr>
        <w:pStyle w:val="ac"/>
        <w:numPr>
          <w:ilvl w:val="0"/>
          <w:numId w:val="4"/>
        </w:numPr>
        <w:rPr>
          <w:sz w:val="18"/>
          <w:szCs w:val="18"/>
          <w:lang w:val="ru-RU"/>
        </w:rPr>
      </w:pPr>
      <w:r w:rsidRPr="00201AAF">
        <w:rPr>
          <w:i/>
          <w:sz w:val="18"/>
          <w:szCs w:val="18"/>
          <w:lang w:val="ru-RU"/>
        </w:rPr>
        <w:t>Черкесов, Г.Н.</w:t>
      </w:r>
      <w:r w:rsidRPr="00201AAF">
        <w:rPr>
          <w:sz w:val="18"/>
          <w:szCs w:val="18"/>
          <w:lang w:val="ru-RU"/>
        </w:rPr>
        <w:t xml:space="preserve"> Надежность апп</w:t>
      </w:r>
      <w:r>
        <w:rPr>
          <w:sz w:val="18"/>
          <w:szCs w:val="18"/>
          <w:lang w:val="ru-RU"/>
        </w:rPr>
        <w:t xml:space="preserve">аратно-программных комплексов. </w:t>
      </w:r>
      <w:r w:rsidRPr="00201AAF">
        <w:rPr>
          <w:sz w:val="18"/>
          <w:szCs w:val="18"/>
          <w:lang w:val="ru-RU"/>
        </w:rPr>
        <w:t>–</w:t>
      </w:r>
      <w:r>
        <w:rPr>
          <w:sz w:val="18"/>
          <w:szCs w:val="18"/>
          <w:lang w:val="ru-RU"/>
        </w:rPr>
        <w:t xml:space="preserve"> СПб.: Питер, </w:t>
      </w:r>
      <w:r w:rsidRPr="00201AAF">
        <w:rPr>
          <w:sz w:val="18"/>
          <w:szCs w:val="18"/>
          <w:lang w:val="ru-RU"/>
        </w:rPr>
        <w:t>2005.</w:t>
      </w:r>
      <w:r>
        <w:rPr>
          <w:sz w:val="18"/>
          <w:szCs w:val="18"/>
          <w:lang w:val="ru-RU"/>
        </w:rPr>
        <w:t xml:space="preserve"> </w:t>
      </w:r>
      <w:r w:rsidRPr="00A93937">
        <w:rPr>
          <w:sz w:val="18"/>
          <w:szCs w:val="18"/>
          <w:lang w:val="ru-RU"/>
        </w:rPr>
        <w:t>–</w:t>
      </w:r>
      <w:r>
        <w:rPr>
          <w:sz w:val="18"/>
          <w:szCs w:val="18"/>
          <w:lang w:val="ru-RU"/>
        </w:rPr>
        <w:t xml:space="preserve"> 479 с.</w:t>
      </w:r>
    </w:p>
    <w:p w:rsidR="00201AAF" w:rsidRPr="00201AAF" w:rsidRDefault="00201AAF" w:rsidP="00201AAF">
      <w:pPr>
        <w:pStyle w:val="ac"/>
        <w:numPr>
          <w:ilvl w:val="0"/>
          <w:numId w:val="4"/>
        </w:numPr>
        <w:rPr>
          <w:sz w:val="18"/>
          <w:szCs w:val="18"/>
          <w:lang w:val="ru-RU"/>
        </w:rPr>
      </w:pPr>
      <w:proofErr w:type="spellStart"/>
      <w:r>
        <w:rPr>
          <w:i/>
          <w:sz w:val="18"/>
          <w:szCs w:val="18"/>
          <w:lang w:val="ru-RU"/>
        </w:rPr>
        <w:t>Белик</w:t>
      </w:r>
      <w:proofErr w:type="spellEnd"/>
      <w:r>
        <w:rPr>
          <w:i/>
          <w:sz w:val="18"/>
          <w:szCs w:val="18"/>
          <w:lang w:val="ru-RU"/>
        </w:rPr>
        <w:t xml:space="preserve">, А.Г. </w:t>
      </w:r>
      <w:r w:rsidRPr="00201AAF">
        <w:rPr>
          <w:sz w:val="18"/>
          <w:szCs w:val="18"/>
          <w:lang w:val="ru-RU"/>
        </w:rPr>
        <w:t>Качество и надежность программных систем</w:t>
      </w:r>
      <w:r>
        <w:rPr>
          <w:sz w:val="18"/>
          <w:szCs w:val="18"/>
          <w:lang w:val="ru-RU"/>
        </w:rPr>
        <w:t xml:space="preserve"> / А.Г. </w:t>
      </w:r>
      <w:proofErr w:type="spellStart"/>
      <w:r>
        <w:rPr>
          <w:sz w:val="18"/>
          <w:szCs w:val="18"/>
          <w:lang w:val="ru-RU"/>
        </w:rPr>
        <w:t>Белик</w:t>
      </w:r>
      <w:proofErr w:type="spellEnd"/>
      <w:r>
        <w:rPr>
          <w:sz w:val="18"/>
          <w:szCs w:val="18"/>
          <w:lang w:val="ru-RU"/>
        </w:rPr>
        <w:t xml:space="preserve">, В. И. </w:t>
      </w:r>
      <w:r>
        <w:rPr>
          <w:i/>
          <w:sz w:val="18"/>
          <w:szCs w:val="18"/>
          <w:lang w:val="ru-RU"/>
        </w:rPr>
        <w:t>Цыганенко</w:t>
      </w:r>
      <w:r w:rsidRPr="00201AAF">
        <w:rPr>
          <w:sz w:val="18"/>
          <w:szCs w:val="18"/>
          <w:lang w:val="ru-RU"/>
        </w:rPr>
        <w:t xml:space="preserve">. – </w:t>
      </w:r>
      <w:r>
        <w:rPr>
          <w:sz w:val="18"/>
          <w:szCs w:val="18"/>
          <w:lang w:val="ru-RU"/>
        </w:rPr>
        <w:t>Омск:</w:t>
      </w:r>
      <w:r w:rsidRPr="00201AAF">
        <w:rPr>
          <w:sz w:val="18"/>
          <w:szCs w:val="18"/>
          <w:lang w:val="ru-RU"/>
        </w:rPr>
        <w:t xml:space="preserve"> Изд. </w:t>
      </w:r>
      <w:proofErr w:type="spellStart"/>
      <w:r w:rsidRPr="00201AAF">
        <w:rPr>
          <w:sz w:val="18"/>
          <w:szCs w:val="18"/>
          <w:lang w:val="ru-RU"/>
        </w:rPr>
        <w:t>ОмГТУ</w:t>
      </w:r>
      <w:proofErr w:type="spellEnd"/>
      <w:r w:rsidRPr="00201AAF">
        <w:rPr>
          <w:sz w:val="18"/>
          <w:szCs w:val="18"/>
          <w:lang w:val="ru-RU"/>
        </w:rPr>
        <w:t>. 2018.</w:t>
      </w:r>
      <w:r>
        <w:rPr>
          <w:sz w:val="18"/>
          <w:szCs w:val="18"/>
          <w:lang w:val="ru-RU"/>
        </w:rPr>
        <w:t xml:space="preserve"> </w:t>
      </w:r>
      <w:r w:rsidRPr="00201AAF">
        <w:rPr>
          <w:sz w:val="18"/>
          <w:szCs w:val="18"/>
          <w:lang w:val="ru-RU"/>
        </w:rPr>
        <w:t>–</w:t>
      </w:r>
      <w:r>
        <w:rPr>
          <w:sz w:val="18"/>
          <w:szCs w:val="18"/>
          <w:lang w:val="ru-RU"/>
        </w:rPr>
        <w:t xml:space="preserve"> 80 с.</w:t>
      </w:r>
    </w:p>
    <w:p w:rsidR="00A464B2" w:rsidRPr="00201AAF" w:rsidRDefault="00A464B2" w:rsidP="00A464B2">
      <w:pPr>
        <w:pStyle w:val="ac"/>
        <w:ind w:firstLine="0"/>
        <w:rPr>
          <w:sz w:val="18"/>
          <w:szCs w:val="18"/>
          <w:lang w:val="ru-RU"/>
        </w:rPr>
      </w:pPr>
    </w:p>
    <w:p w:rsidR="003A316E" w:rsidRPr="00201AAF" w:rsidRDefault="003A316E" w:rsidP="00E25AE7">
      <w:pPr>
        <w:tabs>
          <w:tab w:val="left" w:pos="1973"/>
        </w:tabs>
        <w:spacing w:before="100"/>
        <w:jc w:val="right"/>
        <w:rPr>
          <w:lang w:val="ru-RU"/>
        </w:rPr>
      </w:pPr>
    </w:p>
    <w:sectPr w:rsidR="003A316E" w:rsidRPr="00201AAF" w:rsidSect="0097419B">
      <w:headerReference w:type="default" r:id="rId11"/>
      <w:pgSz w:w="8391" w:h="11906" w:code="11"/>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161" w:rsidRDefault="008C2161" w:rsidP="004576B7">
      <w:r>
        <w:separator/>
      </w:r>
    </w:p>
  </w:endnote>
  <w:endnote w:type="continuationSeparator" w:id="0">
    <w:p w:rsidR="008C2161" w:rsidRDefault="008C2161" w:rsidP="00457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161" w:rsidRDefault="008C2161" w:rsidP="004576B7">
      <w:r>
        <w:separator/>
      </w:r>
    </w:p>
  </w:footnote>
  <w:footnote w:type="continuationSeparator" w:id="0">
    <w:p w:rsidR="008C2161" w:rsidRDefault="008C2161" w:rsidP="004576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6B7" w:rsidRPr="00067BBA" w:rsidRDefault="004576B7" w:rsidP="0097419B">
    <w:pPr>
      <w:pStyle w:val="af7"/>
      <w:ind w:firstLine="0"/>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3228A"/>
    <w:multiLevelType w:val="hybridMultilevel"/>
    <w:tmpl w:val="5B44D2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57CD2707"/>
    <w:multiLevelType w:val="hybridMultilevel"/>
    <w:tmpl w:val="F196CD32"/>
    <w:lvl w:ilvl="0" w:tplc="F526710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6756159D"/>
    <w:multiLevelType w:val="hybridMultilevel"/>
    <w:tmpl w:val="D1FA1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75B5AC5"/>
    <w:multiLevelType w:val="hybridMultilevel"/>
    <w:tmpl w:val="F190D93C"/>
    <w:lvl w:ilvl="0" w:tplc="F526710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68F85066"/>
    <w:multiLevelType w:val="hybridMultilevel"/>
    <w:tmpl w:val="48AC4D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79C41E8A"/>
    <w:multiLevelType w:val="hybridMultilevel"/>
    <w:tmpl w:val="1BD4D656"/>
    <w:lvl w:ilvl="0" w:tplc="0419000F">
      <w:start w:val="1"/>
      <w:numFmt w:val="decimal"/>
      <w:lvlText w:val="%1."/>
      <w:lvlJc w:val="left"/>
      <w:pPr>
        <w:ind w:left="3621" w:hanging="360"/>
      </w:p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300"/>
    <w:rsid w:val="00007F01"/>
    <w:rsid w:val="00020C14"/>
    <w:rsid w:val="000377E8"/>
    <w:rsid w:val="0005669F"/>
    <w:rsid w:val="00057C76"/>
    <w:rsid w:val="00066D5F"/>
    <w:rsid w:val="00067619"/>
    <w:rsid w:val="00067BBA"/>
    <w:rsid w:val="00074997"/>
    <w:rsid w:val="00083F0D"/>
    <w:rsid w:val="00085F61"/>
    <w:rsid w:val="000914E3"/>
    <w:rsid w:val="00094BAE"/>
    <w:rsid w:val="000A4942"/>
    <w:rsid w:val="000B4054"/>
    <w:rsid w:val="000B6D2A"/>
    <w:rsid w:val="000C3D77"/>
    <w:rsid w:val="000D2C0E"/>
    <w:rsid w:val="001017E3"/>
    <w:rsid w:val="001B7F6F"/>
    <w:rsid w:val="001D1DA6"/>
    <w:rsid w:val="001F3110"/>
    <w:rsid w:val="001F386E"/>
    <w:rsid w:val="00201AAF"/>
    <w:rsid w:val="002040D6"/>
    <w:rsid w:val="00213D81"/>
    <w:rsid w:val="00215E72"/>
    <w:rsid w:val="002210EB"/>
    <w:rsid w:val="002539AA"/>
    <w:rsid w:val="0026293C"/>
    <w:rsid w:val="00264C5E"/>
    <w:rsid w:val="00281EB8"/>
    <w:rsid w:val="002B2AB6"/>
    <w:rsid w:val="002B3F32"/>
    <w:rsid w:val="00312D70"/>
    <w:rsid w:val="00316300"/>
    <w:rsid w:val="00323BB7"/>
    <w:rsid w:val="00326B56"/>
    <w:rsid w:val="00344BBB"/>
    <w:rsid w:val="003579E6"/>
    <w:rsid w:val="00362AF0"/>
    <w:rsid w:val="00362CBF"/>
    <w:rsid w:val="003631DA"/>
    <w:rsid w:val="003A03EE"/>
    <w:rsid w:val="003A316E"/>
    <w:rsid w:val="003B4926"/>
    <w:rsid w:val="003E066F"/>
    <w:rsid w:val="003F52B5"/>
    <w:rsid w:val="00405C36"/>
    <w:rsid w:val="00410901"/>
    <w:rsid w:val="00424056"/>
    <w:rsid w:val="004317EA"/>
    <w:rsid w:val="004351F3"/>
    <w:rsid w:val="00440A10"/>
    <w:rsid w:val="004550AC"/>
    <w:rsid w:val="004576B7"/>
    <w:rsid w:val="00481558"/>
    <w:rsid w:val="00486333"/>
    <w:rsid w:val="00490E2A"/>
    <w:rsid w:val="004B214E"/>
    <w:rsid w:val="004D70D8"/>
    <w:rsid w:val="004D7814"/>
    <w:rsid w:val="004F3C6A"/>
    <w:rsid w:val="004F60D9"/>
    <w:rsid w:val="00514C88"/>
    <w:rsid w:val="005247AA"/>
    <w:rsid w:val="00562601"/>
    <w:rsid w:val="00572BD1"/>
    <w:rsid w:val="00580823"/>
    <w:rsid w:val="00585763"/>
    <w:rsid w:val="0059608B"/>
    <w:rsid w:val="005A5BA3"/>
    <w:rsid w:val="005B05C4"/>
    <w:rsid w:val="005B446B"/>
    <w:rsid w:val="005C0930"/>
    <w:rsid w:val="005D1672"/>
    <w:rsid w:val="005E3B2A"/>
    <w:rsid w:val="00613C53"/>
    <w:rsid w:val="00625F39"/>
    <w:rsid w:val="006327AB"/>
    <w:rsid w:val="00634735"/>
    <w:rsid w:val="006437C6"/>
    <w:rsid w:val="00666B03"/>
    <w:rsid w:val="006721AF"/>
    <w:rsid w:val="00680900"/>
    <w:rsid w:val="00683B84"/>
    <w:rsid w:val="00683C6B"/>
    <w:rsid w:val="0069410D"/>
    <w:rsid w:val="00707E97"/>
    <w:rsid w:val="007230E0"/>
    <w:rsid w:val="00753292"/>
    <w:rsid w:val="00753B8E"/>
    <w:rsid w:val="00766FDD"/>
    <w:rsid w:val="00780E80"/>
    <w:rsid w:val="00790BF1"/>
    <w:rsid w:val="007A58E3"/>
    <w:rsid w:val="007B58DF"/>
    <w:rsid w:val="007C4610"/>
    <w:rsid w:val="007C52A7"/>
    <w:rsid w:val="007E2AFD"/>
    <w:rsid w:val="007F2559"/>
    <w:rsid w:val="00802F57"/>
    <w:rsid w:val="00805F4B"/>
    <w:rsid w:val="00806A25"/>
    <w:rsid w:val="0084106A"/>
    <w:rsid w:val="008508FC"/>
    <w:rsid w:val="00861615"/>
    <w:rsid w:val="00872A9F"/>
    <w:rsid w:val="008746D4"/>
    <w:rsid w:val="00877B93"/>
    <w:rsid w:val="00884772"/>
    <w:rsid w:val="008A4F35"/>
    <w:rsid w:val="008C2161"/>
    <w:rsid w:val="008C259A"/>
    <w:rsid w:val="008D2BF4"/>
    <w:rsid w:val="008E0123"/>
    <w:rsid w:val="0091331A"/>
    <w:rsid w:val="009276DC"/>
    <w:rsid w:val="00950EFD"/>
    <w:rsid w:val="009540B7"/>
    <w:rsid w:val="0096159A"/>
    <w:rsid w:val="00961E88"/>
    <w:rsid w:val="0097419B"/>
    <w:rsid w:val="009957A7"/>
    <w:rsid w:val="009A2058"/>
    <w:rsid w:val="009C6E6F"/>
    <w:rsid w:val="009D6D91"/>
    <w:rsid w:val="009F13B5"/>
    <w:rsid w:val="00A05DC0"/>
    <w:rsid w:val="00A1247C"/>
    <w:rsid w:val="00A272AA"/>
    <w:rsid w:val="00A340F4"/>
    <w:rsid w:val="00A464B2"/>
    <w:rsid w:val="00A46788"/>
    <w:rsid w:val="00A50158"/>
    <w:rsid w:val="00A51A1D"/>
    <w:rsid w:val="00A57938"/>
    <w:rsid w:val="00A8485B"/>
    <w:rsid w:val="00A93937"/>
    <w:rsid w:val="00A94924"/>
    <w:rsid w:val="00AA6C84"/>
    <w:rsid w:val="00AD6DA5"/>
    <w:rsid w:val="00AD74D9"/>
    <w:rsid w:val="00AE062F"/>
    <w:rsid w:val="00AE091E"/>
    <w:rsid w:val="00AE3CBC"/>
    <w:rsid w:val="00AE5366"/>
    <w:rsid w:val="00B11DD8"/>
    <w:rsid w:val="00B21C65"/>
    <w:rsid w:val="00B365CF"/>
    <w:rsid w:val="00B7433A"/>
    <w:rsid w:val="00B75AA2"/>
    <w:rsid w:val="00B87C31"/>
    <w:rsid w:val="00BB038C"/>
    <w:rsid w:val="00BC057B"/>
    <w:rsid w:val="00BC3483"/>
    <w:rsid w:val="00BE5B00"/>
    <w:rsid w:val="00BF260B"/>
    <w:rsid w:val="00BF5989"/>
    <w:rsid w:val="00C07F54"/>
    <w:rsid w:val="00C23B91"/>
    <w:rsid w:val="00C3298C"/>
    <w:rsid w:val="00C54B88"/>
    <w:rsid w:val="00C75665"/>
    <w:rsid w:val="00C77498"/>
    <w:rsid w:val="00C83AA4"/>
    <w:rsid w:val="00C90A06"/>
    <w:rsid w:val="00CB402F"/>
    <w:rsid w:val="00CC3E67"/>
    <w:rsid w:val="00D0260D"/>
    <w:rsid w:val="00D036D0"/>
    <w:rsid w:val="00D10A0A"/>
    <w:rsid w:val="00D1466A"/>
    <w:rsid w:val="00D36B4C"/>
    <w:rsid w:val="00D466E2"/>
    <w:rsid w:val="00D63F32"/>
    <w:rsid w:val="00D81FF9"/>
    <w:rsid w:val="00D83984"/>
    <w:rsid w:val="00D84EB6"/>
    <w:rsid w:val="00D870ED"/>
    <w:rsid w:val="00D91894"/>
    <w:rsid w:val="00D97BCC"/>
    <w:rsid w:val="00DA0C9C"/>
    <w:rsid w:val="00DA2B40"/>
    <w:rsid w:val="00DD768A"/>
    <w:rsid w:val="00DF3E74"/>
    <w:rsid w:val="00E02FAD"/>
    <w:rsid w:val="00E064B3"/>
    <w:rsid w:val="00E23831"/>
    <w:rsid w:val="00E2438C"/>
    <w:rsid w:val="00E25AE7"/>
    <w:rsid w:val="00E44531"/>
    <w:rsid w:val="00E7167F"/>
    <w:rsid w:val="00E85CB1"/>
    <w:rsid w:val="00ED3783"/>
    <w:rsid w:val="00F43BD8"/>
    <w:rsid w:val="00F47F58"/>
    <w:rsid w:val="00F57442"/>
    <w:rsid w:val="00F6491B"/>
    <w:rsid w:val="00F75B6F"/>
    <w:rsid w:val="00F96A57"/>
    <w:rsid w:val="00FB1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44FF2D5"/>
  <w15:docId w15:val="{234C6167-99AC-497B-8526-EAEAA45C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300"/>
    <w:pPr>
      <w:spacing w:after="0" w:line="240" w:lineRule="auto"/>
      <w:ind w:firstLine="709"/>
      <w:jc w:val="both"/>
    </w:pPr>
    <w:rPr>
      <w:rFonts w:ascii="Times New Roman" w:hAnsi="Times New Roman" w:cstheme="majorBidi"/>
      <w:sz w:val="20"/>
    </w:rPr>
  </w:style>
  <w:style w:type="paragraph" w:styleId="1">
    <w:name w:val="heading 1"/>
    <w:basedOn w:val="a"/>
    <w:next w:val="a"/>
    <w:link w:val="10"/>
    <w:uiPriority w:val="9"/>
    <w:qFormat/>
    <w:rsid w:val="0059608B"/>
    <w:pPr>
      <w:keepNext/>
      <w:keepLines/>
      <w:spacing w:before="480"/>
      <w:outlineLvl w:val="0"/>
    </w:pPr>
    <w:rPr>
      <w:rFonts w:eastAsiaTheme="majorEastAsia"/>
      <w:b/>
      <w:bCs/>
      <w:szCs w:val="28"/>
    </w:rPr>
  </w:style>
  <w:style w:type="paragraph" w:styleId="2">
    <w:name w:val="heading 2"/>
    <w:basedOn w:val="a"/>
    <w:next w:val="a"/>
    <w:link w:val="20"/>
    <w:uiPriority w:val="9"/>
    <w:unhideWhenUsed/>
    <w:qFormat/>
    <w:rsid w:val="004576B7"/>
    <w:pPr>
      <w:keepNext/>
      <w:keepLines/>
      <w:spacing w:before="200"/>
      <w:outlineLvl w:val="1"/>
    </w:pPr>
    <w:rPr>
      <w:rFonts w:eastAsiaTheme="majorEastAsia"/>
      <w:b/>
      <w:bCs/>
      <w:szCs w:val="26"/>
    </w:rPr>
  </w:style>
  <w:style w:type="paragraph" w:styleId="3">
    <w:name w:val="heading 3"/>
    <w:basedOn w:val="a"/>
    <w:next w:val="a"/>
    <w:link w:val="30"/>
    <w:uiPriority w:val="9"/>
    <w:semiHidden/>
    <w:unhideWhenUsed/>
    <w:qFormat/>
    <w:rsid w:val="003579E6"/>
    <w:pPr>
      <w:keepNext/>
      <w:keepLines/>
      <w:spacing w:before="200"/>
      <w:outlineLvl w:val="2"/>
    </w:pPr>
    <w:rPr>
      <w:rFonts w:asciiTheme="majorHAnsi" w:eastAsiaTheme="majorEastAsia" w:hAnsiTheme="majorHAnsi"/>
      <w:b/>
      <w:bCs/>
      <w:color w:val="4F81BD" w:themeColor="accent1"/>
    </w:rPr>
  </w:style>
  <w:style w:type="paragraph" w:styleId="4">
    <w:name w:val="heading 4"/>
    <w:basedOn w:val="a"/>
    <w:next w:val="a"/>
    <w:link w:val="40"/>
    <w:uiPriority w:val="9"/>
    <w:semiHidden/>
    <w:unhideWhenUsed/>
    <w:qFormat/>
    <w:rsid w:val="003579E6"/>
    <w:pPr>
      <w:keepNext/>
      <w:keepLines/>
      <w:spacing w:before="200"/>
      <w:outlineLvl w:val="3"/>
    </w:pPr>
    <w:rPr>
      <w:rFonts w:asciiTheme="majorHAnsi" w:eastAsiaTheme="majorEastAsia" w:hAnsiTheme="majorHAnsi"/>
      <w:b/>
      <w:bCs/>
      <w:i/>
      <w:iCs/>
      <w:color w:val="4F81BD" w:themeColor="accent1"/>
    </w:rPr>
  </w:style>
  <w:style w:type="paragraph" w:styleId="5">
    <w:name w:val="heading 5"/>
    <w:basedOn w:val="a"/>
    <w:next w:val="a"/>
    <w:link w:val="50"/>
    <w:uiPriority w:val="9"/>
    <w:semiHidden/>
    <w:unhideWhenUsed/>
    <w:qFormat/>
    <w:rsid w:val="003579E6"/>
    <w:pPr>
      <w:keepNext/>
      <w:keepLines/>
      <w:spacing w:before="200"/>
      <w:outlineLvl w:val="4"/>
    </w:pPr>
    <w:rPr>
      <w:rFonts w:asciiTheme="majorHAnsi" w:eastAsiaTheme="majorEastAsia" w:hAnsiTheme="majorHAnsi"/>
      <w:color w:val="243F60" w:themeColor="accent1" w:themeShade="7F"/>
    </w:rPr>
  </w:style>
  <w:style w:type="paragraph" w:styleId="6">
    <w:name w:val="heading 6"/>
    <w:basedOn w:val="a"/>
    <w:next w:val="a"/>
    <w:link w:val="60"/>
    <w:uiPriority w:val="9"/>
    <w:semiHidden/>
    <w:unhideWhenUsed/>
    <w:qFormat/>
    <w:rsid w:val="003579E6"/>
    <w:pPr>
      <w:keepNext/>
      <w:keepLines/>
      <w:spacing w:before="200"/>
      <w:outlineLvl w:val="5"/>
    </w:pPr>
    <w:rPr>
      <w:rFonts w:asciiTheme="majorHAnsi" w:eastAsiaTheme="majorEastAsia" w:hAnsiTheme="majorHAnsi"/>
      <w:i/>
      <w:iCs/>
      <w:color w:val="243F60" w:themeColor="accent1" w:themeShade="7F"/>
    </w:rPr>
  </w:style>
  <w:style w:type="paragraph" w:styleId="7">
    <w:name w:val="heading 7"/>
    <w:basedOn w:val="a"/>
    <w:next w:val="a"/>
    <w:link w:val="70"/>
    <w:uiPriority w:val="9"/>
    <w:semiHidden/>
    <w:unhideWhenUsed/>
    <w:qFormat/>
    <w:rsid w:val="003579E6"/>
    <w:pPr>
      <w:keepNext/>
      <w:keepLines/>
      <w:spacing w:before="200"/>
      <w:outlineLvl w:val="6"/>
    </w:pPr>
    <w:rPr>
      <w:rFonts w:asciiTheme="majorHAnsi" w:eastAsiaTheme="majorEastAsia" w:hAnsiTheme="majorHAnsi"/>
      <w:i/>
      <w:iCs/>
      <w:color w:val="404040" w:themeColor="text1" w:themeTint="BF"/>
    </w:rPr>
  </w:style>
  <w:style w:type="paragraph" w:styleId="8">
    <w:name w:val="heading 8"/>
    <w:basedOn w:val="a"/>
    <w:next w:val="a"/>
    <w:link w:val="80"/>
    <w:uiPriority w:val="9"/>
    <w:semiHidden/>
    <w:unhideWhenUsed/>
    <w:qFormat/>
    <w:rsid w:val="003579E6"/>
    <w:pPr>
      <w:keepNext/>
      <w:keepLines/>
      <w:spacing w:before="200"/>
      <w:outlineLvl w:val="7"/>
    </w:pPr>
    <w:rPr>
      <w:rFonts w:asciiTheme="majorHAnsi" w:eastAsiaTheme="majorEastAsia" w:hAnsiTheme="majorHAnsi"/>
      <w:color w:val="4F81BD" w:themeColor="accent1"/>
    </w:rPr>
  </w:style>
  <w:style w:type="paragraph" w:styleId="9">
    <w:name w:val="heading 9"/>
    <w:basedOn w:val="a"/>
    <w:next w:val="a"/>
    <w:link w:val="90"/>
    <w:uiPriority w:val="9"/>
    <w:semiHidden/>
    <w:unhideWhenUsed/>
    <w:qFormat/>
    <w:rsid w:val="003579E6"/>
    <w:pPr>
      <w:keepNext/>
      <w:keepLines/>
      <w:spacing w:before="200"/>
      <w:outlineLvl w:val="8"/>
    </w:pPr>
    <w:rPr>
      <w:rFonts w:asciiTheme="majorHAnsi" w:eastAsiaTheme="majorEastAsia" w:hAnsiTheme="majorHAnsi"/>
      <w:i/>
      <w:iCs/>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608B"/>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4576B7"/>
    <w:rPr>
      <w:rFonts w:ascii="Times New Roman" w:eastAsiaTheme="majorEastAsia" w:hAnsi="Times New Roman" w:cstheme="majorBidi"/>
      <w:b/>
      <w:bCs/>
      <w:sz w:val="20"/>
      <w:szCs w:val="26"/>
    </w:rPr>
  </w:style>
  <w:style w:type="character" w:customStyle="1" w:styleId="30">
    <w:name w:val="Заголовок 3 Знак"/>
    <w:basedOn w:val="a0"/>
    <w:link w:val="3"/>
    <w:uiPriority w:val="9"/>
    <w:rsid w:val="003579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579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579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579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3579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3579E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3579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579E6"/>
    <w:rPr>
      <w:b/>
      <w:bCs/>
      <w:color w:val="4F81BD" w:themeColor="accent1"/>
      <w:sz w:val="18"/>
      <w:szCs w:val="18"/>
    </w:rPr>
  </w:style>
  <w:style w:type="paragraph" w:styleId="a4">
    <w:name w:val="Title"/>
    <w:basedOn w:val="a"/>
    <w:next w:val="a"/>
    <w:link w:val="a5"/>
    <w:uiPriority w:val="10"/>
    <w:qFormat/>
    <w:rsid w:val="003579E6"/>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a5">
    <w:name w:val="Заголовок Знак"/>
    <w:basedOn w:val="a0"/>
    <w:link w:val="a4"/>
    <w:uiPriority w:val="10"/>
    <w:rsid w:val="003579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579E6"/>
    <w:pPr>
      <w:numPr>
        <w:ilvl w:val="1"/>
      </w:numPr>
      <w:ind w:firstLine="709"/>
    </w:pPr>
    <w:rPr>
      <w:rFonts w:asciiTheme="majorHAnsi" w:eastAsiaTheme="majorEastAsia" w:hAnsiTheme="majorHAnsi"/>
      <w:i/>
      <w:iCs/>
      <w:color w:val="4F81BD" w:themeColor="accent1"/>
      <w:spacing w:val="15"/>
      <w:sz w:val="24"/>
      <w:szCs w:val="24"/>
    </w:rPr>
  </w:style>
  <w:style w:type="character" w:customStyle="1" w:styleId="a7">
    <w:name w:val="Подзаголовок Знак"/>
    <w:basedOn w:val="a0"/>
    <w:link w:val="a6"/>
    <w:uiPriority w:val="11"/>
    <w:rsid w:val="003579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579E6"/>
    <w:rPr>
      <w:b/>
      <w:bCs/>
    </w:rPr>
  </w:style>
  <w:style w:type="character" w:styleId="a9">
    <w:name w:val="Emphasis"/>
    <w:basedOn w:val="a0"/>
    <w:uiPriority w:val="20"/>
    <w:qFormat/>
    <w:rsid w:val="003579E6"/>
    <w:rPr>
      <w:i/>
      <w:iCs/>
    </w:rPr>
  </w:style>
  <w:style w:type="paragraph" w:styleId="aa">
    <w:name w:val="No Spacing"/>
    <w:link w:val="ab"/>
    <w:uiPriority w:val="1"/>
    <w:qFormat/>
    <w:rsid w:val="0059608B"/>
    <w:pPr>
      <w:spacing w:after="0" w:line="240" w:lineRule="auto"/>
    </w:pPr>
    <w:rPr>
      <w:rFonts w:ascii="Times New Roman" w:hAnsi="Times New Roman"/>
      <w:sz w:val="24"/>
    </w:rPr>
  </w:style>
  <w:style w:type="paragraph" w:styleId="ac">
    <w:name w:val="List Paragraph"/>
    <w:basedOn w:val="a"/>
    <w:uiPriority w:val="34"/>
    <w:qFormat/>
    <w:rsid w:val="003579E6"/>
    <w:pPr>
      <w:ind w:left="720"/>
      <w:contextualSpacing/>
    </w:pPr>
  </w:style>
  <w:style w:type="paragraph" w:styleId="21">
    <w:name w:val="Quote"/>
    <w:basedOn w:val="a"/>
    <w:next w:val="a"/>
    <w:link w:val="22"/>
    <w:uiPriority w:val="29"/>
    <w:qFormat/>
    <w:rsid w:val="003579E6"/>
    <w:rPr>
      <w:i/>
      <w:iCs/>
      <w:color w:val="000000" w:themeColor="text1"/>
    </w:rPr>
  </w:style>
  <w:style w:type="character" w:customStyle="1" w:styleId="22">
    <w:name w:val="Цитата 2 Знак"/>
    <w:basedOn w:val="a0"/>
    <w:link w:val="21"/>
    <w:uiPriority w:val="29"/>
    <w:rsid w:val="003579E6"/>
    <w:rPr>
      <w:i/>
      <w:iCs/>
      <w:color w:val="000000" w:themeColor="text1"/>
    </w:rPr>
  </w:style>
  <w:style w:type="paragraph" w:styleId="ad">
    <w:name w:val="Intense Quote"/>
    <w:basedOn w:val="a"/>
    <w:next w:val="a"/>
    <w:link w:val="ae"/>
    <w:uiPriority w:val="30"/>
    <w:qFormat/>
    <w:rsid w:val="003579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579E6"/>
    <w:rPr>
      <w:b/>
      <w:bCs/>
      <w:i/>
      <w:iCs/>
      <w:color w:val="4F81BD" w:themeColor="accent1"/>
    </w:rPr>
  </w:style>
  <w:style w:type="character" w:styleId="af">
    <w:name w:val="Subtle Emphasis"/>
    <w:basedOn w:val="a0"/>
    <w:uiPriority w:val="19"/>
    <w:qFormat/>
    <w:rsid w:val="003579E6"/>
    <w:rPr>
      <w:i/>
      <w:iCs/>
      <w:color w:val="808080" w:themeColor="text1" w:themeTint="7F"/>
    </w:rPr>
  </w:style>
  <w:style w:type="character" w:styleId="af0">
    <w:name w:val="Intense Emphasis"/>
    <w:basedOn w:val="a0"/>
    <w:uiPriority w:val="21"/>
    <w:qFormat/>
    <w:rsid w:val="003579E6"/>
    <w:rPr>
      <w:b/>
      <w:bCs/>
      <w:i/>
      <w:iCs/>
      <w:color w:val="4F81BD" w:themeColor="accent1"/>
    </w:rPr>
  </w:style>
  <w:style w:type="character" w:styleId="af1">
    <w:name w:val="Subtle Reference"/>
    <w:basedOn w:val="a0"/>
    <w:uiPriority w:val="31"/>
    <w:qFormat/>
    <w:rsid w:val="003579E6"/>
    <w:rPr>
      <w:smallCaps/>
      <w:color w:val="C0504D" w:themeColor="accent2"/>
      <w:u w:val="single"/>
    </w:rPr>
  </w:style>
  <w:style w:type="character" w:styleId="af2">
    <w:name w:val="Intense Reference"/>
    <w:basedOn w:val="a0"/>
    <w:uiPriority w:val="32"/>
    <w:qFormat/>
    <w:rsid w:val="003579E6"/>
    <w:rPr>
      <w:b/>
      <w:bCs/>
      <w:smallCaps/>
      <w:color w:val="C0504D" w:themeColor="accent2"/>
      <w:spacing w:val="5"/>
      <w:u w:val="single"/>
    </w:rPr>
  </w:style>
  <w:style w:type="character" w:styleId="af3">
    <w:name w:val="Book Title"/>
    <w:basedOn w:val="a0"/>
    <w:uiPriority w:val="33"/>
    <w:qFormat/>
    <w:rsid w:val="003579E6"/>
    <w:rPr>
      <w:b/>
      <w:bCs/>
      <w:smallCaps/>
      <w:spacing w:val="5"/>
    </w:rPr>
  </w:style>
  <w:style w:type="paragraph" w:styleId="af4">
    <w:name w:val="TOC Heading"/>
    <w:basedOn w:val="1"/>
    <w:next w:val="a"/>
    <w:uiPriority w:val="39"/>
    <w:semiHidden/>
    <w:unhideWhenUsed/>
    <w:qFormat/>
    <w:rsid w:val="003579E6"/>
    <w:pPr>
      <w:outlineLvl w:val="9"/>
    </w:pPr>
  </w:style>
  <w:style w:type="character" w:customStyle="1" w:styleId="ab">
    <w:name w:val="Без интервала Знак"/>
    <w:basedOn w:val="a0"/>
    <w:link w:val="aa"/>
    <w:uiPriority w:val="1"/>
    <w:rsid w:val="0059608B"/>
    <w:rPr>
      <w:rFonts w:ascii="Times New Roman" w:hAnsi="Times New Roman"/>
      <w:sz w:val="24"/>
    </w:rPr>
  </w:style>
  <w:style w:type="paragraph" w:styleId="af5">
    <w:name w:val="Balloon Text"/>
    <w:basedOn w:val="a"/>
    <w:link w:val="af6"/>
    <w:uiPriority w:val="99"/>
    <w:semiHidden/>
    <w:unhideWhenUsed/>
    <w:rsid w:val="004576B7"/>
    <w:rPr>
      <w:rFonts w:ascii="Tahoma" w:hAnsi="Tahoma" w:cs="Tahoma"/>
      <w:sz w:val="16"/>
      <w:szCs w:val="16"/>
    </w:rPr>
  </w:style>
  <w:style w:type="character" w:customStyle="1" w:styleId="af6">
    <w:name w:val="Текст выноски Знак"/>
    <w:basedOn w:val="a0"/>
    <w:link w:val="af5"/>
    <w:uiPriority w:val="99"/>
    <w:semiHidden/>
    <w:rsid w:val="004576B7"/>
    <w:rPr>
      <w:rFonts w:ascii="Tahoma" w:hAnsi="Tahoma" w:cs="Tahoma"/>
      <w:sz w:val="16"/>
      <w:szCs w:val="16"/>
    </w:rPr>
  </w:style>
  <w:style w:type="paragraph" w:styleId="af7">
    <w:name w:val="header"/>
    <w:basedOn w:val="a"/>
    <w:link w:val="af8"/>
    <w:uiPriority w:val="99"/>
    <w:unhideWhenUsed/>
    <w:rsid w:val="004576B7"/>
    <w:pPr>
      <w:tabs>
        <w:tab w:val="center" w:pos="4677"/>
        <w:tab w:val="right" w:pos="9355"/>
      </w:tabs>
    </w:pPr>
  </w:style>
  <w:style w:type="character" w:customStyle="1" w:styleId="af8">
    <w:name w:val="Верхний колонтитул Знак"/>
    <w:basedOn w:val="a0"/>
    <w:link w:val="af7"/>
    <w:uiPriority w:val="99"/>
    <w:rsid w:val="004576B7"/>
    <w:rPr>
      <w:rFonts w:ascii="Times New Roman" w:hAnsi="Times New Roman" w:cstheme="majorBidi"/>
      <w:sz w:val="20"/>
    </w:rPr>
  </w:style>
  <w:style w:type="paragraph" w:styleId="af9">
    <w:name w:val="footer"/>
    <w:basedOn w:val="a"/>
    <w:link w:val="afa"/>
    <w:uiPriority w:val="99"/>
    <w:unhideWhenUsed/>
    <w:rsid w:val="004576B7"/>
    <w:pPr>
      <w:tabs>
        <w:tab w:val="center" w:pos="4677"/>
        <w:tab w:val="right" w:pos="9355"/>
      </w:tabs>
    </w:pPr>
  </w:style>
  <w:style w:type="character" w:customStyle="1" w:styleId="afa">
    <w:name w:val="Нижний колонтитул Знак"/>
    <w:basedOn w:val="a0"/>
    <w:link w:val="af9"/>
    <w:uiPriority w:val="99"/>
    <w:rsid w:val="004576B7"/>
    <w:rPr>
      <w:rFonts w:ascii="Times New Roman" w:hAnsi="Times New Roman" w:cstheme="majorBidi"/>
      <w:sz w:val="20"/>
    </w:rPr>
  </w:style>
  <w:style w:type="character" w:styleId="afb">
    <w:name w:val="Hyperlink"/>
    <w:basedOn w:val="a0"/>
    <w:uiPriority w:val="99"/>
    <w:unhideWhenUsed/>
    <w:rsid w:val="00F75B6F"/>
    <w:rPr>
      <w:color w:val="0000FF"/>
      <w:u w:val="single"/>
    </w:rPr>
  </w:style>
  <w:style w:type="table" w:styleId="afc">
    <w:name w:val="Table Grid"/>
    <w:basedOn w:val="a1"/>
    <w:uiPriority w:val="59"/>
    <w:rsid w:val="00877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laceholder Text"/>
    <w:basedOn w:val="a0"/>
    <w:uiPriority w:val="99"/>
    <w:semiHidden/>
    <w:rsid w:val="006327AB"/>
    <w:rPr>
      <w:color w:val="808080"/>
    </w:rPr>
  </w:style>
  <w:style w:type="character" w:customStyle="1" w:styleId="tlid-translation">
    <w:name w:val="tlid-translation"/>
    <w:basedOn w:val="a0"/>
    <w:rsid w:val="00037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168738">
      <w:bodyDiv w:val="1"/>
      <w:marLeft w:val="0"/>
      <w:marRight w:val="0"/>
      <w:marTop w:val="0"/>
      <w:marBottom w:val="0"/>
      <w:divBdr>
        <w:top w:val="none" w:sz="0" w:space="0" w:color="auto"/>
        <w:left w:val="none" w:sz="0" w:space="0" w:color="auto"/>
        <w:bottom w:val="none" w:sz="0" w:space="0" w:color="auto"/>
        <w:right w:val="none" w:sz="0" w:space="0" w:color="auto"/>
      </w:divBdr>
    </w:div>
    <w:div w:id="975912825">
      <w:bodyDiv w:val="1"/>
      <w:marLeft w:val="0"/>
      <w:marRight w:val="0"/>
      <w:marTop w:val="0"/>
      <w:marBottom w:val="0"/>
      <w:divBdr>
        <w:top w:val="none" w:sz="0" w:space="0" w:color="auto"/>
        <w:left w:val="none" w:sz="0" w:space="0" w:color="auto"/>
        <w:bottom w:val="none" w:sz="0" w:space="0" w:color="auto"/>
        <w:right w:val="none" w:sz="0" w:space="0" w:color="auto"/>
      </w:divBdr>
    </w:div>
    <w:div w:id="135792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0;&#1076;&#1084;&#1080;&#1085;&#1080;&#1089;&#1090;&#1088;&#1072;&#1090;&#1086;&#1088;\AppData\Roaming\Microsoft\&#1064;&#1072;&#1073;&#1083;&#1086;&#1085;&#1099;\Normal1.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Calibri"/>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F5835-D303-4ECA-96B6-19E0DD30F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Normal1</Template>
  <TotalTime>177</TotalTime>
  <Pages>4</Pages>
  <Words>576</Words>
  <Characters>3288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39</cp:revision>
  <cp:lastPrinted>2020-10-08T09:34:00Z</cp:lastPrinted>
  <dcterms:created xsi:type="dcterms:W3CDTF">2020-09-24T08:59:00Z</dcterms:created>
  <dcterms:modified xsi:type="dcterms:W3CDTF">2020-10-09T17:18:00Z</dcterms:modified>
</cp:coreProperties>
</file>