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A4" w:rsidRPr="00296971" w:rsidRDefault="005119A4" w:rsidP="005119A4">
      <w:pPr>
        <w:pStyle w:val="a3"/>
        <w:rPr>
          <w:sz w:val="20"/>
          <w:szCs w:val="22"/>
          <w:lang w:val="en-US"/>
        </w:rPr>
      </w:pPr>
      <w:r w:rsidRPr="00B51D39">
        <w:t>УДК 621.3</w:t>
      </w:r>
      <w:r w:rsidRPr="00CE48B3">
        <w:t>15.1</w:t>
      </w:r>
      <w:r>
        <w:rPr>
          <w:sz w:val="20"/>
          <w:szCs w:val="22"/>
        </w:rPr>
        <w:br/>
      </w:r>
      <w:bookmarkStart w:id="0" w:name="_GoBack"/>
      <w:bookmarkEnd w:id="0"/>
    </w:p>
    <w:p w:rsidR="00CE48B3" w:rsidRDefault="00CE48B3" w:rsidP="001E790C">
      <w:pPr>
        <w:pStyle w:val="a5"/>
        <w:spacing w:after="0"/>
      </w:pPr>
      <w:r>
        <w:t>Артем Юрьевич Киселев</w:t>
      </w:r>
    </w:p>
    <w:p w:rsidR="00CE48B3" w:rsidRDefault="001E790C" w:rsidP="001E790C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1E790C">
        <w:rPr>
          <w:rFonts w:ascii="Times New Roman" w:eastAsia="Calibri" w:hAnsi="Times New Roman"/>
          <w:sz w:val="20"/>
          <w:szCs w:val="22"/>
          <w:lang w:eastAsia="en-US"/>
        </w:rPr>
        <w:t>(</w:t>
      </w:r>
      <w:r w:rsidR="00CE48B3" w:rsidRPr="00CE48B3">
        <w:rPr>
          <w:rFonts w:ascii="Times New Roman" w:eastAsia="Calibri" w:hAnsi="Times New Roman"/>
          <w:sz w:val="20"/>
          <w:szCs w:val="22"/>
          <w:lang w:eastAsia="en-US"/>
        </w:rPr>
        <w:t>Дальневосточный государственный университет путей сообщения, магистрант</w:t>
      </w:r>
      <w:r w:rsidR="00CE48B3">
        <w:rPr>
          <w:rFonts w:ascii="Times New Roman" w:eastAsia="Calibri" w:hAnsi="Times New Roman"/>
          <w:sz w:val="20"/>
          <w:szCs w:val="22"/>
          <w:lang w:eastAsia="en-US"/>
        </w:rPr>
        <w:t>,</w:t>
      </w:r>
      <w:r w:rsidR="00CE48B3" w:rsidRPr="00CE48B3">
        <w:rPr>
          <w:rFonts w:ascii="Times New Roman" w:eastAsia="Calibri" w:hAnsi="Times New Roman"/>
          <w:sz w:val="20"/>
          <w:szCs w:val="22"/>
          <w:lang w:eastAsia="en-US"/>
        </w:rPr>
        <w:t xml:space="preserve"> Российская Федерация</w:t>
      </w:r>
      <w:r w:rsidR="00CE48B3">
        <w:rPr>
          <w:rFonts w:ascii="Times New Roman" w:eastAsia="Calibri" w:hAnsi="Times New Roman"/>
          <w:sz w:val="20"/>
          <w:szCs w:val="22"/>
          <w:lang w:eastAsia="en-US"/>
        </w:rPr>
        <w:t>,</w:t>
      </w:r>
      <w:r w:rsidR="00CE48B3" w:rsidRPr="00CE48B3">
        <w:rPr>
          <w:rFonts w:ascii="Times New Roman" w:eastAsia="Calibri" w:hAnsi="Times New Roman"/>
          <w:sz w:val="20"/>
          <w:szCs w:val="22"/>
          <w:lang w:eastAsia="en-US"/>
        </w:rPr>
        <w:t xml:space="preserve"> г.</w:t>
      </w:r>
      <w:r w:rsidR="00CE48B3">
        <w:rPr>
          <w:rFonts w:ascii="Times New Roman" w:eastAsia="Calibri" w:hAnsi="Times New Roman"/>
          <w:sz w:val="20"/>
          <w:szCs w:val="22"/>
          <w:lang w:eastAsia="en-US"/>
        </w:rPr>
        <w:t> </w:t>
      </w:r>
      <w:r w:rsidR="00CE48B3" w:rsidRPr="00CE48B3">
        <w:rPr>
          <w:rFonts w:ascii="Times New Roman" w:eastAsia="Calibri" w:hAnsi="Times New Roman"/>
          <w:sz w:val="20"/>
          <w:szCs w:val="22"/>
          <w:lang w:eastAsia="en-US"/>
        </w:rPr>
        <w:t xml:space="preserve">Хабаровск, </w:t>
      </w:r>
      <w:proofErr w:type="spellStart"/>
      <w:r w:rsidR="00CE48B3">
        <w:rPr>
          <w:rFonts w:ascii="Times New Roman" w:eastAsia="Calibri" w:hAnsi="Times New Roman"/>
          <w:sz w:val="20"/>
          <w:szCs w:val="22"/>
          <w:lang w:val="en-US" w:eastAsia="en-US"/>
        </w:rPr>
        <w:t>rs</w:t>
      </w:r>
      <w:proofErr w:type="spellEnd"/>
      <w:r w:rsidR="00CE48B3" w:rsidRPr="00CE48B3">
        <w:rPr>
          <w:rFonts w:ascii="Times New Roman" w:eastAsia="Calibri" w:hAnsi="Times New Roman"/>
          <w:sz w:val="20"/>
          <w:szCs w:val="22"/>
          <w:lang w:eastAsia="en-US"/>
        </w:rPr>
        <w:t>_</w:t>
      </w:r>
      <w:r w:rsidR="00CE48B3">
        <w:rPr>
          <w:rFonts w:ascii="Times New Roman" w:eastAsia="Calibri" w:hAnsi="Times New Roman"/>
          <w:sz w:val="20"/>
          <w:szCs w:val="22"/>
          <w:lang w:val="en-US" w:eastAsia="en-US"/>
        </w:rPr>
        <w:t>art</w:t>
      </w:r>
      <w:r w:rsidR="00CE48B3" w:rsidRPr="00CE48B3">
        <w:rPr>
          <w:rFonts w:ascii="Times New Roman" w:eastAsia="Calibri" w:hAnsi="Times New Roman"/>
          <w:sz w:val="20"/>
          <w:szCs w:val="22"/>
          <w:lang w:eastAsia="en-US"/>
        </w:rPr>
        <w:t>@</w:t>
      </w:r>
      <w:r w:rsidR="00CE48B3">
        <w:rPr>
          <w:rFonts w:ascii="Times New Roman" w:eastAsia="Calibri" w:hAnsi="Times New Roman"/>
          <w:sz w:val="20"/>
          <w:szCs w:val="22"/>
          <w:lang w:val="en-US" w:eastAsia="en-US"/>
        </w:rPr>
        <w:t>mail</w:t>
      </w:r>
      <w:r w:rsidR="00CE48B3" w:rsidRPr="00CE48B3">
        <w:rPr>
          <w:rFonts w:ascii="Times New Roman" w:eastAsia="Calibri" w:hAnsi="Times New Roman"/>
          <w:sz w:val="20"/>
          <w:szCs w:val="22"/>
          <w:lang w:eastAsia="en-US"/>
        </w:rPr>
        <w:t>.</w:t>
      </w:r>
      <w:proofErr w:type="spellStart"/>
      <w:r w:rsidR="00CE48B3">
        <w:rPr>
          <w:rFonts w:ascii="Times New Roman" w:eastAsia="Calibri" w:hAnsi="Times New Roman"/>
          <w:sz w:val="20"/>
          <w:szCs w:val="22"/>
          <w:lang w:val="en-US" w:eastAsia="en-US"/>
        </w:rPr>
        <w:t>ru</w:t>
      </w:r>
      <w:proofErr w:type="spellEnd"/>
      <w:r w:rsidRPr="001E790C">
        <w:rPr>
          <w:rFonts w:ascii="Times New Roman" w:eastAsia="Calibri" w:hAnsi="Times New Roman"/>
          <w:sz w:val="20"/>
          <w:szCs w:val="22"/>
          <w:lang w:eastAsia="en-US"/>
        </w:rPr>
        <w:t>)</w:t>
      </w:r>
    </w:p>
    <w:p w:rsidR="00CE48B3" w:rsidRDefault="00CE48B3" w:rsidP="001E790C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Павел Сергеевич Пинчуков</w:t>
      </w:r>
    </w:p>
    <w:p w:rsidR="001E790C" w:rsidRDefault="001E790C" w:rsidP="001E790C">
      <w:pPr>
        <w:pStyle w:val="a5"/>
        <w:spacing w:after="0"/>
      </w:pPr>
      <w:r w:rsidRPr="001E790C">
        <w:t>(</w:t>
      </w:r>
      <w:r w:rsidR="00CE48B3" w:rsidRPr="00CE48B3">
        <w:t>Дальневосточный государственный университет путей сообщения, директор Электроэнергетического института</w:t>
      </w:r>
      <w:r w:rsidR="00CE48B3">
        <w:t>,</w:t>
      </w:r>
      <w:r w:rsidR="00CE48B3" w:rsidRPr="00CE48B3">
        <w:t xml:space="preserve"> доцент кафедры «Системы электроснабжения», к.т.н., Российская Федерация</w:t>
      </w:r>
      <w:r w:rsidR="00CE48B3">
        <w:t>,</w:t>
      </w:r>
      <w:r w:rsidR="00CE48B3" w:rsidRPr="00CE48B3">
        <w:t xml:space="preserve"> г.</w:t>
      </w:r>
      <w:r w:rsidR="00CE48B3">
        <w:t> </w:t>
      </w:r>
      <w:r w:rsidR="00CE48B3" w:rsidRPr="00CE48B3">
        <w:t>Хабаровск, dee@festu.khv.ru</w:t>
      </w:r>
      <w:r w:rsidRPr="001E790C">
        <w:t>)</w:t>
      </w:r>
      <w:r w:rsidR="00CE48B3" w:rsidRPr="002B61ED">
        <w:rPr>
          <w:sz w:val="24"/>
          <w:szCs w:val="24"/>
        </w:rPr>
        <w:t xml:space="preserve"> </w:t>
      </w:r>
      <w:r w:rsidR="005119A4">
        <w:br/>
      </w:r>
      <w:r w:rsidR="00CE48B3" w:rsidRPr="00CE48B3">
        <w:rPr>
          <w:lang w:val="en-US"/>
        </w:rPr>
        <w:t>A</w:t>
      </w:r>
      <w:r w:rsidR="00CE48B3" w:rsidRPr="001E790C">
        <w:t>.</w:t>
      </w:r>
      <w:r w:rsidR="00CE48B3" w:rsidRPr="00CE48B3">
        <w:rPr>
          <w:lang w:val="en-US"/>
        </w:rPr>
        <w:t>Y</w:t>
      </w:r>
      <w:r w:rsidR="00CE48B3" w:rsidRPr="001E790C">
        <w:t xml:space="preserve">. </w:t>
      </w:r>
      <w:r w:rsidR="00CE48B3" w:rsidRPr="00CE48B3">
        <w:rPr>
          <w:lang w:val="en-US"/>
        </w:rPr>
        <w:t>Kiselev</w:t>
      </w:r>
    </w:p>
    <w:p w:rsidR="00E60B7D" w:rsidRDefault="001E790C" w:rsidP="001E790C">
      <w:pPr>
        <w:pStyle w:val="NameSurname"/>
        <w:spacing w:after="0"/>
        <w:rPr>
          <w:sz w:val="20"/>
        </w:rPr>
      </w:pPr>
      <w:r>
        <w:rPr>
          <w:sz w:val="20"/>
        </w:rPr>
        <w:t>(</w:t>
      </w:r>
      <w:r w:rsidR="00CE48B3" w:rsidRPr="00CE48B3">
        <w:rPr>
          <w:sz w:val="20"/>
        </w:rPr>
        <w:t>Far Eastern State University of Railway Tran</w:t>
      </w:r>
      <w:r w:rsidR="00E60B7D">
        <w:rPr>
          <w:sz w:val="20"/>
        </w:rPr>
        <w:t>sport, Master's degree student,</w:t>
      </w:r>
    </w:p>
    <w:p w:rsidR="005119A4" w:rsidRDefault="00CE48B3" w:rsidP="001E790C">
      <w:pPr>
        <w:pStyle w:val="NameSurname"/>
        <w:spacing w:after="0"/>
        <w:rPr>
          <w:sz w:val="20"/>
        </w:rPr>
      </w:pPr>
      <w:r>
        <w:rPr>
          <w:sz w:val="20"/>
        </w:rPr>
        <w:t>The Russian Federation</w:t>
      </w:r>
      <w:r w:rsidRPr="00CE48B3">
        <w:rPr>
          <w:sz w:val="20"/>
        </w:rPr>
        <w:t>, Khabarovsk, e-mail: rs_art@mail.ru</w:t>
      </w:r>
      <w:r w:rsidR="001E790C">
        <w:rPr>
          <w:sz w:val="20"/>
        </w:rPr>
        <w:t>)</w:t>
      </w:r>
    </w:p>
    <w:p w:rsidR="001E790C" w:rsidRPr="001E790C" w:rsidRDefault="001E790C" w:rsidP="001E790C">
      <w:pPr>
        <w:pStyle w:val="NameSurname"/>
        <w:spacing w:after="0"/>
        <w:rPr>
          <w:sz w:val="20"/>
        </w:rPr>
      </w:pPr>
      <w:r w:rsidRPr="001E790C">
        <w:rPr>
          <w:sz w:val="20"/>
        </w:rPr>
        <w:t>P.S. Pinchukov</w:t>
      </w:r>
    </w:p>
    <w:p w:rsidR="001E790C" w:rsidRDefault="001E790C" w:rsidP="001E790C">
      <w:pPr>
        <w:pStyle w:val="NameSurname"/>
        <w:spacing w:after="0"/>
        <w:rPr>
          <w:sz w:val="20"/>
        </w:rPr>
      </w:pPr>
      <w:r>
        <w:rPr>
          <w:sz w:val="20"/>
        </w:rPr>
        <w:t>(</w:t>
      </w:r>
      <w:r w:rsidRPr="00CE48B3">
        <w:rPr>
          <w:sz w:val="20"/>
        </w:rPr>
        <w:t xml:space="preserve">Far Eastern State University of Railway Transport, </w:t>
      </w:r>
      <w:r w:rsidRPr="001E790C">
        <w:rPr>
          <w:sz w:val="20"/>
        </w:rPr>
        <w:t xml:space="preserve">Director of the Electric Power Institute, Associate Professor of the Department of "Power Supply Systems", Ph.D. in Engineering Science, </w:t>
      </w:r>
      <w:r>
        <w:rPr>
          <w:sz w:val="20"/>
        </w:rPr>
        <w:t>The Russian Federation, Khabarovsk,</w:t>
      </w:r>
    </w:p>
    <w:p w:rsidR="00CE48B3" w:rsidRPr="00533BA0" w:rsidRDefault="001E790C" w:rsidP="001E790C">
      <w:pPr>
        <w:pStyle w:val="NameSurname"/>
        <w:spacing w:after="0"/>
        <w:rPr>
          <w:sz w:val="20"/>
        </w:rPr>
      </w:pPr>
      <w:proofErr w:type="gramStart"/>
      <w:r w:rsidRPr="001E790C">
        <w:rPr>
          <w:sz w:val="20"/>
        </w:rPr>
        <w:t>e</w:t>
      </w:r>
      <w:r w:rsidRPr="00533BA0">
        <w:rPr>
          <w:sz w:val="20"/>
        </w:rPr>
        <w:t>-</w:t>
      </w:r>
      <w:r w:rsidRPr="001E790C">
        <w:rPr>
          <w:sz w:val="20"/>
        </w:rPr>
        <w:t>mail</w:t>
      </w:r>
      <w:proofErr w:type="gramEnd"/>
      <w:r w:rsidRPr="00533BA0">
        <w:rPr>
          <w:sz w:val="20"/>
        </w:rPr>
        <w:t xml:space="preserve">: </w:t>
      </w:r>
      <w:hyperlink r:id="rId7" w:history="1">
        <w:r w:rsidRPr="001E790C">
          <w:rPr>
            <w:sz w:val="20"/>
          </w:rPr>
          <w:t>dee</w:t>
        </w:r>
        <w:r w:rsidRPr="00533BA0">
          <w:rPr>
            <w:sz w:val="20"/>
          </w:rPr>
          <w:t>@</w:t>
        </w:r>
        <w:r w:rsidRPr="001E790C">
          <w:rPr>
            <w:sz w:val="20"/>
          </w:rPr>
          <w:t>festu</w:t>
        </w:r>
        <w:r w:rsidRPr="00533BA0">
          <w:rPr>
            <w:sz w:val="20"/>
          </w:rPr>
          <w:t>.</w:t>
        </w:r>
        <w:r w:rsidRPr="001E790C">
          <w:rPr>
            <w:sz w:val="20"/>
          </w:rPr>
          <w:t>khv</w:t>
        </w:r>
        <w:r w:rsidRPr="00533BA0">
          <w:rPr>
            <w:sz w:val="20"/>
          </w:rPr>
          <w:t>.</w:t>
        </w:r>
        <w:r w:rsidRPr="001E790C">
          <w:rPr>
            <w:sz w:val="20"/>
          </w:rPr>
          <w:t>ru</w:t>
        </w:r>
      </w:hyperlink>
      <w:r w:rsidRPr="00533BA0">
        <w:rPr>
          <w:sz w:val="20"/>
        </w:rPr>
        <w:t>)</w:t>
      </w:r>
    </w:p>
    <w:p w:rsidR="005119A4" w:rsidRPr="001E790C" w:rsidRDefault="008B7E02" w:rsidP="005119A4">
      <w:pPr>
        <w:pStyle w:val="a7"/>
      </w:pPr>
      <w:r>
        <w:t xml:space="preserve">ПЕРСПЕКТИВЫ ПРИМЕНЕНИЯ ПАКЕТА </w:t>
      </w:r>
      <w:r>
        <w:rPr>
          <w:lang w:val="en-US"/>
        </w:rPr>
        <w:t>matlab</w:t>
      </w:r>
      <w:r>
        <w:t xml:space="preserve"> ДЛЯ </w:t>
      </w:r>
      <w:r w:rsidR="001E790C">
        <w:t>МОДЕЛИРОВАНИ</w:t>
      </w:r>
      <w:r>
        <w:t>Я</w:t>
      </w:r>
      <w:r w:rsidR="001E790C">
        <w:t xml:space="preserve"> ГРОЗОВЫХ РАЗРЯДОВ в </w:t>
      </w:r>
      <w:r w:rsidR="001C3641">
        <w:t xml:space="preserve">ЛЭП </w:t>
      </w:r>
    </w:p>
    <w:p w:rsidR="005119A4" w:rsidRPr="001E790C" w:rsidRDefault="001E790C" w:rsidP="005119A4">
      <w:pPr>
        <w:pStyle w:val="Titlepublication"/>
      </w:pPr>
      <w:r>
        <w:t xml:space="preserve">THE </w:t>
      </w:r>
      <w:r w:rsidR="008B7E02">
        <w:t>PROSPECTS OF USING THE MATLAB PACKAGE FOR MODELING LIGHTNING DISCHARGES IN POWER transmitting LINES</w:t>
      </w:r>
    </w:p>
    <w:p w:rsidR="005119A4" w:rsidRPr="00640D16" w:rsidRDefault="005119A4" w:rsidP="005119A4">
      <w:pPr>
        <w:pStyle w:val="a9"/>
      </w:pPr>
      <w:r>
        <w:t xml:space="preserve">Аннотация. </w:t>
      </w:r>
      <w:r w:rsidR="00490FBB">
        <w:t xml:space="preserve">Описаны возможности созданной в пакете </w:t>
      </w:r>
      <w:proofErr w:type="spellStart"/>
      <w:r w:rsidR="00490FBB">
        <w:rPr>
          <w:lang w:val="en-US"/>
        </w:rPr>
        <w:t>Matlab</w:t>
      </w:r>
      <w:proofErr w:type="spellEnd"/>
      <w:r w:rsidR="00490FBB" w:rsidRPr="004B34AD">
        <w:t xml:space="preserve"> </w:t>
      </w:r>
      <w:r w:rsidR="008B7E02">
        <w:t xml:space="preserve">имитационной </w:t>
      </w:r>
      <w:r w:rsidR="00490FBB">
        <w:t xml:space="preserve">модели участка ЛЭП номинальным напряжением 220 </w:t>
      </w:r>
      <w:proofErr w:type="spellStart"/>
      <w:r w:rsidR="00490FBB">
        <w:t>кВ</w:t>
      </w:r>
      <w:proofErr w:type="spellEnd"/>
      <w:r w:rsidR="004B34AD">
        <w:t xml:space="preserve"> при воздействии грозовых разрядов</w:t>
      </w:r>
      <w:r w:rsidRPr="00640D16">
        <w:t xml:space="preserve">. </w:t>
      </w:r>
    </w:p>
    <w:p w:rsidR="005119A4" w:rsidRPr="00640D16" w:rsidRDefault="005119A4" w:rsidP="005119A4">
      <w:pPr>
        <w:pStyle w:val="Abstract"/>
      </w:pPr>
      <w:r>
        <w:t xml:space="preserve">Abstract. </w:t>
      </w:r>
      <w:r w:rsidR="004B34AD" w:rsidRPr="004B34AD">
        <w:t xml:space="preserve">The possibilities of a </w:t>
      </w:r>
      <w:r w:rsidR="009F60E8">
        <w:t>simulation</w:t>
      </w:r>
      <w:r w:rsidR="004B34AD" w:rsidRPr="004B34AD">
        <w:t xml:space="preserve"> model of a power line section with a rated voltage of 220 kV created in the </w:t>
      </w:r>
      <w:proofErr w:type="spellStart"/>
      <w:r w:rsidR="004B34AD" w:rsidRPr="004B34AD">
        <w:t>Matlab</w:t>
      </w:r>
      <w:proofErr w:type="spellEnd"/>
      <w:r w:rsidR="004B34AD" w:rsidRPr="004B34AD">
        <w:t xml:space="preserve"> package under the influence of lightning discharges are described</w:t>
      </w:r>
      <w:r w:rsidRPr="00640D16">
        <w:t>.</w:t>
      </w:r>
    </w:p>
    <w:p w:rsidR="005119A4" w:rsidRPr="007563E2" w:rsidRDefault="005119A4" w:rsidP="005119A4">
      <w:pPr>
        <w:pStyle w:val="ab"/>
      </w:pPr>
      <w:r w:rsidRPr="00640D16">
        <w:t xml:space="preserve">Ключевые слова: </w:t>
      </w:r>
      <w:r w:rsidR="007563E2">
        <w:rPr>
          <w:szCs w:val="24"/>
        </w:rPr>
        <w:t xml:space="preserve">грозовые разряды, линии электропередачи, </w:t>
      </w:r>
      <w:r w:rsidR="0091686E">
        <w:rPr>
          <w:szCs w:val="24"/>
        </w:rPr>
        <w:t>имитацион</w:t>
      </w:r>
      <w:r w:rsidR="007563E2">
        <w:rPr>
          <w:szCs w:val="24"/>
        </w:rPr>
        <w:t xml:space="preserve">ная модель, </w:t>
      </w:r>
      <w:proofErr w:type="spellStart"/>
      <w:r w:rsidR="007563E2">
        <w:rPr>
          <w:szCs w:val="24"/>
          <w:lang w:val="en-US"/>
        </w:rPr>
        <w:t>Matlab</w:t>
      </w:r>
      <w:proofErr w:type="spellEnd"/>
    </w:p>
    <w:p w:rsidR="005119A4" w:rsidRPr="00042C56" w:rsidRDefault="005119A4" w:rsidP="005119A4">
      <w:pPr>
        <w:pStyle w:val="Keywords"/>
      </w:pPr>
      <w:r w:rsidRPr="00640D16">
        <w:t xml:space="preserve">Keywords: </w:t>
      </w:r>
      <w:r w:rsidR="007563E2" w:rsidRPr="007563E2">
        <w:t xml:space="preserve">lightning discharges, power lines, computer model, </w:t>
      </w:r>
      <w:proofErr w:type="spellStart"/>
      <w:r w:rsidR="007563E2" w:rsidRPr="007563E2">
        <w:t>Matlab</w:t>
      </w:r>
      <w:proofErr w:type="spellEnd"/>
      <w:r w:rsidRPr="00042C56">
        <w:t>.</w:t>
      </w:r>
    </w:p>
    <w:p w:rsidR="00BE70BF" w:rsidRPr="00E60B7D" w:rsidRDefault="00BE70BF" w:rsidP="00BE70BF">
      <w:pPr>
        <w:pStyle w:val="ad"/>
      </w:pPr>
      <w:r w:rsidRPr="00BE70BF">
        <w:t xml:space="preserve">Грозовые перенапряжения на </w:t>
      </w:r>
      <w:r w:rsidR="000D3E0F">
        <w:t xml:space="preserve">воздушных </w:t>
      </w:r>
      <w:r w:rsidRPr="00BE70BF">
        <w:t xml:space="preserve">линиях электропередачи </w:t>
      </w:r>
      <w:r w:rsidR="008B7E02">
        <w:t>(ЛЭП</w:t>
      </w:r>
      <w:r>
        <w:t xml:space="preserve">) </w:t>
      </w:r>
      <w:r w:rsidRPr="00BE70BF">
        <w:t>возникают как при непосредственном поражении линии грозовыми разрядами (перенапряжения прямого удара молнии), так и при разрядах молнии в землю в окрестности линии (индуцированные перенапряжения). Пере</w:t>
      </w:r>
      <w:r w:rsidR="008B7E02">
        <w:t>напряжения прямого удара молнии</w:t>
      </w:r>
      <w:r w:rsidR="008B7E02" w:rsidRPr="008B7E02">
        <w:t xml:space="preserve"> </w:t>
      </w:r>
      <w:r w:rsidRPr="00BE70BF">
        <w:t>представляют наибольшую опасность, и грозозащита линий должна ориентироваться име</w:t>
      </w:r>
      <w:r w:rsidR="00E60B7D">
        <w:t>нно на этот вид перенапряжений.</w:t>
      </w:r>
    </w:p>
    <w:p w:rsidR="00BE70BF" w:rsidRPr="00BE70BF" w:rsidRDefault="00BE70BF" w:rsidP="00BE70BF">
      <w:pPr>
        <w:pStyle w:val="ad"/>
      </w:pPr>
      <w:r w:rsidRPr="00BE70BF">
        <w:t xml:space="preserve">Для исследования грозовых перенапряжений выбран фрагмент </w:t>
      </w:r>
      <w:r w:rsidR="0091686E">
        <w:t>ЛЭП</w:t>
      </w:r>
      <w:r w:rsidRPr="00BE70BF">
        <w:t xml:space="preserve"> номинальным напряжением 220 кВ протяженностью 1 км, содержащий шесть опор. Каждый из данных фрагментов, в свою очередь, состоит из двух элементарных участков линии (трех фазных проводов и одного </w:t>
      </w:r>
      <w:r w:rsidRPr="00BE70BF">
        <w:lastRenderedPageBreak/>
        <w:t xml:space="preserve">грозозащитного троса) длиной 100 м, созданием которых </w:t>
      </w:r>
      <w:proofErr w:type="gramStart"/>
      <w:r w:rsidRPr="00BE70BF">
        <w:t>представляется возможность</w:t>
      </w:r>
      <w:proofErr w:type="gramEnd"/>
      <w:r w:rsidRPr="00BE70BF">
        <w:t xml:space="preserve"> моделировать разряд молнии в середину фазного провода и грозозащитного троса.</w:t>
      </w:r>
    </w:p>
    <w:p w:rsidR="00E60B7D" w:rsidRDefault="0091686E" w:rsidP="00E60B7D">
      <w:pPr>
        <w:pStyle w:val="ad"/>
      </w:pPr>
      <w:r>
        <w:rPr>
          <w:szCs w:val="24"/>
        </w:rPr>
        <w:t>Имитационная</w:t>
      </w:r>
      <w:r w:rsidR="00BE70BF" w:rsidRPr="00BE70BF">
        <w:t xml:space="preserve"> модель участка ЛЭП, выполненная программными средствами </w:t>
      </w:r>
      <w:proofErr w:type="spellStart"/>
      <w:r w:rsidR="00BE70BF" w:rsidRPr="00BE70BF">
        <w:t>Matlab</w:t>
      </w:r>
      <w:proofErr w:type="spellEnd"/>
      <w:r w:rsidR="00BE70BF" w:rsidRPr="00BE70BF">
        <w:t>/</w:t>
      </w:r>
      <w:proofErr w:type="spellStart"/>
      <w:r w:rsidR="00BE70BF" w:rsidRPr="00BE70BF">
        <w:t>Simulink</w:t>
      </w:r>
      <w:proofErr w:type="spellEnd"/>
      <w:r w:rsidR="00BE70BF" w:rsidRPr="00BE70BF">
        <w:t>/</w:t>
      </w:r>
      <w:proofErr w:type="spellStart"/>
      <w:r w:rsidR="00BE70BF" w:rsidRPr="00BE70BF">
        <w:t>SimPowerSystems</w:t>
      </w:r>
      <w:proofErr w:type="spellEnd"/>
      <w:r w:rsidR="00BE70BF" w:rsidRPr="00BE70BF">
        <w:t>, показана на рис.</w:t>
      </w:r>
      <w:r w:rsidR="00BE70BF">
        <w:t>1</w:t>
      </w:r>
      <w:r w:rsidR="00E60B7D">
        <w:t>.</w:t>
      </w:r>
    </w:p>
    <w:p w:rsidR="00E60B7D" w:rsidRPr="00BE70BF" w:rsidRDefault="00E60B7D" w:rsidP="00E60B7D">
      <w:pPr>
        <w:pStyle w:val="ad"/>
        <w:ind w:firstLine="0"/>
        <w:jc w:val="center"/>
      </w:pPr>
      <w:r w:rsidRPr="00BE70BF">
        <w:rPr>
          <w:noProof/>
          <w:lang w:eastAsia="ru-RU"/>
        </w:rPr>
        <w:drawing>
          <wp:inline distT="0" distB="0" distL="0" distR="0" wp14:anchorId="28297173" wp14:editId="58F216A0">
            <wp:extent cx="4262791" cy="17413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943" t="19307" b="13836"/>
                    <a:stretch/>
                  </pic:blipFill>
                  <pic:spPr bwMode="auto">
                    <a:xfrm>
                      <a:off x="0" y="0"/>
                      <a:ext cx="4285765" cy="17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B7D" w:rsidRPr="000D3E0F" w:rsidRDefault="00E60B7D" w:rsidP="00E60B7D">
      <w:pPr>
        <w:pStyle w:val="ad"/>
        <w:jc w:val="center"/>
        <w:rPr>
          <w:i/>
          <w:sz w:val="18"/>
          <w:szCs w:val="18"/>
        </w:rPr>
      </w:pPr>
      <w:r w:rsidRPr="000D3E0F">
        <w:rPr>
          <w:i/>
          <w:sz w:val="18"/>
          <w:szCs w:val="18"/>
        </w:rPr>
        <w:t xml:space="preserve">Рис.1. </w:t>
      </w:r>
      <w:r w:rsidR="0091686E" w:rsidRPr="0091686E">
        <w:rPr>
          <w:i/>
          <w:sz w:val="18"/>
          <w:szCs w:val="18"/>
        </w:rPr>
        <w:t>Имитационная</w:t>
      </w:r>
      <w:r w:rsidRPr="000D3E0F">
        <w:rPr>
          <w:i/>
          <w:sz w:val="18"/>
          <w:szCs w:val="18"/>
        </w:rPr>
        <w:t xml:space="preserve"> модель участка ЛЭП номинальным напряжением 220 кВ</w:t>
      </w:r>
    </w:p>
    <w:p w:rsidR="00E60B7D" w:rsidRPr="00BE70BF" w:rsidRDefault="00E60B7D" w:rsidP="00E60B7D">
      <w:pPr>
        <w:pStyle w:val="ad"/>
      </w:pPr>
      <w:r>
        <w:t>О</w:t>
      </w:r>
      <w:r w:rsidRPr="00BE70BF">
        <w:t xml:space="preserve">сновными элементами </w:t>
      </w:r>
      <w:r>
        <w:t>модели</w:t>
      </w:r>
      <w:r w:rsidRPr="00BE70BF">
        <w:t xml:space="preserve"> являются:</w:t>
      </w:r>
    </w:p>
    <w:p w:rsidR="00E60B7D" w:rsidRPr="00BE70BF" w:rsidRDefault="00E60B7D" w:rsidP="00E60B7D">
      <w:pPr>
        <w:pStyle w:val="ad"/>
      </w:pPr>
      <w:r w:rsidRPr="00BE70BF">
        <w:t>1.</w:t>
      </w:r>
      <w:r w:rsidR="00BE5C44">
        <w:t> </w:t>
      </w:r>
      <w:r w:rsidRPr="00BE70BF">
        <w:t xml:space="preserve">Элементарный участок линии длиной 1 км, схема замещения которого представляет эквивалентную модель, состоящую из трех фазных проводов и одного грозозащитного троса (при необходимости имеется возможность введения в схему второго грозотроса подключением концевых клемм к свободным входам шестиполюсников, являющихся эквивалентом схемы замещения опор ЛЭП). Между всеми пятью проводниками этого участка линии, а также землей существуют взаимные индуктивные и емкостные связи, для определения значений которых в работе использовалась специализированная программа, входящая в состав пакета </w:t>
      </w:r>
      <w:proofErr w:type="spellStart"/>
      <w:r w:rsidR="00D070B5">
        <w:rPr>
          <w:lang w:val="en-US"/>
        </w:rPr>
        <w:t>Matlab</w:t>
      </w:r>
      <w:proofErr w:type="spellEnd"/>
      <w:r w:rsidR="00D070B5" w:rsidRPr="00D070B5">
        <w:t xml:space="preserve"> </w:t>
      </w:r>
      <w:r w:rsidR="00D070B5">
        <w:t>–</w:t>
      </w:r>
      <w:r w:rsidR="00D070B5" w:rsidRPr="00D070B5">
        <w:t xml:space="preserve"> </w:t>
      </w:r>
      <w:proofErr w:type="spellStart"/>
      <w:r w:rsidR="00D070B5">
        <w:rPr>
          <w:lang w:val="en-US"/>
        </w:rPr>
        <w:t>Powergui</w:t>
      </w:r>
      <w:proofErr w:type="spellEnd"/>
      <w:r w:rsidR="00D070B5" w:rsidRPr="00D070B5">
        <w:t xml:space="preserve"> </w:t>
      </w:r>
      <w:r w:rsidR="00D070B5">
        <w:rPr>
          <w:lang w:val="en-US"/>
        </w:rPr>
        <w:t>Compute</w:t>
      </w:r>
      <w:r w:rsidR="00D070B5" w:rsidRPr="00D070B5">
        <w:t xml:space="preserve"> </w:t>
      </w:r>
      <w:r w:rsidR="00D070B5">
        <w:rPr>
          <w:lang w:val="en-US"/>
        </w:rPr>
        <w:t>RLC</w:t>
      </w:r>
      <w:r w:rsidR="00D070B5" w:rsidRPr="00D070B5">
        <w:t xml:space="preserve"> </w:t>
      </w:r>
      <w:r w:rsidR="00D070B5">
        <w:rPr>
          <w:lang w:val="en-US"/>
        </w:rPr>
        <w:t>Line</w:t>
      </w:r>
      <w:r w:rsidR="00D070B5" w:rsidRPr="00D070B5">
        <w:t xml:space="preserve"> </w:t>
      </w:r>
      <w:r w:rsidR="00D070B5">
        <w:rPr>
          <w:lang w:val="en-US"/>
        </w:rPr>
        <w:t>Parameters</w:t>
      </w:r>
      <w:r w:rsidRPr="00BE70BF">
        <w:t>.</w:t>
      </w:r>
    </w:p>
    <w:p w:rsidR="00E60B7D" w:rsidRPr="00BE70BF" w:rsidRDefault="00E60B7D" w:rsidP="00E60B7D">
      <w:pPr>
        <w:pStyle w:val="ad"/>
      </w:pPr>
      <w:r w:rsidRPr="00BE70BF">
        <w:t>2.</w:t>
      </w:r>
      <w:r w:rsidR="00BE5C44">
        <w:t> </w:t>
      </w:r>
      <w:r w:rsidRPr="00BE70BF">
        <w:t xml:space="preserve">Эквивалентная схема замещения опоры </w:t>
      </w:r>
      <w:r w:rsidR="008B7E02">
        <w:t>ЛЭП</w:t>
      </w:r>
      <w:r w:rsidRPr="00BE70BF">
        <w:t xml:space="preserve"> согласно [</w:t>
      </w:r>
      <w:r>
        <w:t>1</w:t>
      </w:r>
      <w:r w:rsidRPr="00BE70BF">
        <w:t>] содержит набор индуктивностей, вычисленных для каждого участка опоры по значению погонной индуктивности. Модель опоры включает также гирлянду изоляторов, представленную в виде эквивалентной емкости, значение которой определялось по [</w:t>
      </w:r>
      <w:r>
        <w:t>2</w:t>
      </w:r>
      <w:r w:rsidRPr="00BE70BF">
        <w:t>].</w:t>
      </w:r>
    </w:p>
    <w:p w:rsidR="00E60B7D" w:rsidRPr="00BE70BF" w:rsidRDefault="00E60B7D" w:rsidP="00E60B7D">
      <w:pPr>
        <w:pStyle w:val="ad"/>
      </w:pPr>
      <w:r w:rsidRPr="00BE70BF">
        <w:t>3.</w:t>
      </w:r>
      <w:r w:rsidR="00BE5C44">
        <w:t> </w:t>
      </w:r>
      <w:r w:rsidRPr="00BE70BF">
        <w:t>Заземление опоры моделируется в виде активного сопротивления, значение которого может варьироваться в широких пределах. При необходимости в схему замещения сложного заземляющего устройства можно ввести присущую ему индуктивность, а в грунтах с высоким удельным сопротивлением и емкость [</w:t>
      </w:r>
      <w:r>
        <w:t>3</w:t>
      </w:r>
      <w:r w:rsidRPr="00BE70BF">
        <w:t>].</w:t>
      </w:r>
    </w:p>
    <w:p w:rsidR="00E60B7D" w:rsidRPr="000D3E0F" w:rsidRDefault="00E60B7D" w:rsidP="00E60B7D">
      <w:pPr>
        <w:pStyle w:val="ad"/>
      </w:pPr>
      <w:r w:rsidRPr="00BE70BF">
        <w:t>4.</w:t>
      </w:r>
      <w:r w:rsidR="00BE5C44">
        <w:t> </w:t>
      </w:r>
      <w:r w:rsidRPr="00BE70BF">
        <w:t>Импульсный генератор тока, моделирующий разряд молнии амплитудой 100 кА</w:t>
      </w:r>
      <w:r>
        <w:t>,</w:t>
      </w:r>
      <w:r w:rsidRPr="000D3E0F">
        <w:t xml:space="preserve"> представлен</w:t>
      </w:r>
      <w:r w:rsidR="00BE5C44">
        <w:t>ный</w:t>
      </w:r>
      <w:r w:rsidRPr="000D3E0F">
        <w:t xml:space="preserve"> в виде управляемого источника тока. При этом форма тока задана </w:t>
      </w:r>
      <w:proofErr w:type="spellStart"/>
      <w:r w:rsidRPr="000D3E0F">
        <w:t>биэкспоненциальной</w:t>
      </w:r>
      <w:proofErr w:type="spellEnd"/>
      <w:r w:rsidRPr="000D3E0F">
        <w:t xml:space="preserve"> функцией</w:t>
      </w:r>
      <w:r w:rsidR="00BE5C44">
        <w:t xml:space="preserve"> Брюса-</w:t>
      </w:r>
      <w:proofErr w:type="spellStart"/>
      <w:r w:rsidR="00BE5C44">
        <w:t>Голда</w:t>
      </w:r>
      <w:proofErr w:type="spellEnd"/>
      <w:r w:rsidRPr="000D3E0F">
        <w:t xml:space="preserve">, которая с учетом рассчитанных декрементов в </w:t>
      </w:r>
      <w:proofErr w:type="spellStart"/>
      <w:r w:rsidRPr="000D3E0F">
        <w:t>Simulink</w:t>
      </w:r>
      <w:proofErr w:type="spellEnd"/>
      <w:r w:rsidRPr="000D3E0F">
        <w:t xml:space="preserve"> имеет вид:</w:t>
      </w:r>
    </w:p>
    <w:p w:rsidR="00E60B7D" w:rsidRPr="00BE70BF" w:rsidRDefault="00E60B7D" w:rsidP="00E60B7D">
      <w:pPr>
        <w:pStyle w:val="ad"/>
        <w:jc w:val="center"/>
      </w:pPr>
      <w:r w:rsidRPr="000D3E0F">
        <w:t>100000/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 xml:space="preserve">e </m:t>
            </m:r>
          </m:e>
          <m:sup>
            <m:r>
              <m:rPr>
                <m:nor/>
              </m:rPr>
              <m:t>-0,017</m:t>
            </m:r>
          </m:sup>
        </m:sSup>
      </m:oMath>
      <w:r w:rsidRPr="000D3E0F">
        <w:t>·(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e</m:t>
            </m:r>
          </m:e>
          <m:sup>
            <m:r>
              <m:rPr>
                <m:nor/>
              </m:rPr>
              <m:t>(-14300·u)</m:t>
            </m:r>
          </m:sup>
        </m:sSup>
        <m:r>
          <m:rPr>
            <m:nor/>
          </m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 xml:space="preserve">e </m:t>
            </m:r>
          </m:e>
          <m:sup>
            <m:r>
              <m:rPr>
                <m:nor/>
              </m:rPr>
              <m:t>(-6·u)</m:t>
            </m:r>
          </m:sup>
        </m:sSup>
      </m:oMath>
      <w:r w:rsidRPr="000D3E0F">
        <w:t>)</w:t>
      </w:r>
      <w:r w:rsidRPr="00BE70BF">
        <w:t>.</w:t>
      </w:r>
    </w:p>
    <w:p w:rsidR="00E60B7D" w:rsidRPr="00BE70BF" w:rsidRDefault="00E60B7D" w:rsidP="00E60B7D">
      <w:pPr>
        <w:pStyle w:val="ad"/>
      </w:pPr>
      <w:r w:rsidRPr="00BE70BF">
        <w:lastRenderedPageBreak/>
        <w:t>5.</w:t>
      </w:r>
      <w:r w:rsidR="00BE5C44">
        <w:t> </w:t>
      </w:r>
      <w:r w:rsidRPr="00BE70BF">
        <w:t>Сопротивление нагрузки, подключенное на конце участка линии.</w:t>
      </w:r>
    </w:p>
    <w:p w:rsidR="00E60B7D" w:rsidRPr="00BE70BF" w:rsidRDefault="00E60B7D" w:rsidP="00E60B7D">
      <w:pPr>
        <w:pStyle w:val="ad"/>
      </w:pPr>
      <w:r w:rsidRPr="00BE70BF">
        <w:t>6.</w:t>
      </w:r>
      <w:r w:rsidR="00BE5C44">
        <w:t> </w:t>
      </w:r>
      <w:r w:rsidRPr="00BE70BF">
        <w:t>Виртуальные осциллографы как средство отображения кривых напряжений и токов в элементах линии</w:t>
      </w:r>
      <w:r>
        <w:t>, киловольтметры и килоамперметры</w:t>
      </w:r>
      <w:r w:rsidRPr="00BE70BF">
        <w:t>.</w:t>
      </w:r>
    </w:p>
    <w:p w:rsidR="00BE70BF" w:rsidRPr="00BE70BF" w:rsidRDefault="00BE70BF" w:rsidP="00BE70BF">
      <w:pPr>
        <w:pStyle w:val="ad"/>
      </w:pPr>
      <w:r w:rsidRPr="00BE70BF">
        <w:t xml:space="preserve">Уникальность данной </w:t>
      </w:r>
      <w:r w:rsidR="008B7E02">
        <w:t>модели</w:t>
      </w:r>
      <w:r w:rsidRPr="00BE70BF">
        <w:t xml:space="preserve"> обусловлена следующим: во-первых, </w:t>
      </w:r>
      <w:r w:rsidR="005C393C">
        <w:t>модель</w:t>
      </w:r>
      <w:r w:rsidRPr="00BE70BF">
        <w:t xml:space="preserve"> является оптимальной (не перегружена большим количеством опор ЛЭП, которое в практике для одной ЛЭП класса напряжения 220 кВ может составлять 500-600 опор), при этом позволяет моделировать разряды молний и получать данные переходных процессов в любом элементе ЛЭП с минимальным временем компьютерных итераций.</w:t>
      </w:r>
    </w:p>
    <w:p w:rsidR="00BE70BF" w:rsidRPr="00BE70BF" w:rsidRDefault="00BE70BF" w:rsidP="00BE70BF">
      <w:pPr>
        <w:pStyle w:val="ad"/>
      </w:pPr>
      <w:r w:rsidRPr="00BE70BF">
        <w:t>Во-вторых, позволяет моделировать прямые удары молний со стандартной амплитудой тока 100 кА (или произвольно заданной) в фазные провода и грозозащитный трос в середине пролета опор ЛЭП, а также в опору ЛЭП. Генератор тока имитирует разряд молнии отрицательной полярности, что реализуется на практике в большинстве случаев, при этом имеется возможность внести изменения в расчетную</w:t>
      </w:r>
      <w:r w:rsidR="00BE5C44">
        <w:t xml:space="preserve"> зависимость кривой тока молнии</w:t>
      </w:r>
      <w:r w:rsidRPr="00BE70BF">
        <w:t>, чтобы получить грозовой импульс положительной полярности (при необходимости) или другой формы.</w:t>
      </w:r>
    </w:p>
    <w:p w:rsidR="00BE70BF" w:rsidRPr="00BE70BF" w:rsidRDefault="00BE70BF" w:rsidP="00BE70BF">
      <w:pPr>
        <w:pStyle w:val="ad"/>
      </w:pPr>
      <w:r w:rsidRPr="00BE70BF">
        <w:t>В-третьих, в модели имеется возможность изменения параметров ЛЭП, таких как: сопротивление заземляющего устройства опор, сопротивление и емкость проводов и грозозащитных тросов (число тросов – до двух), емкость гирлянды изоляторов, взаимная индуктивность проводов и грозотросов, длина пролетов ЛЭП.</w:t>
      </w:r>
    </w:p>
    <w:p w:rsidR="00BE70BF" w:rsidRPr="00BE70BF" w:rsidRDefault="00F763D0" w:rsidP="00BE70BF">
      <w:pPr>
        <w:pStyle w:val="ad"/>
      </w:pPr>
      <w:r>
        <w:t>Разработанная м</w:t>
      </w:r>
      <w:r w:rsidR="00BE70BF" w:rsidRPr="00BE70BF">
        <w:t>одель может быть полезна для анализа переходных процессов при разрядах в разные элементы ЛЭП, например, позволяет установить зависимость скорости снижения тока молнии и величины падения напряжения на опоре ЛЭП от индуктивного сопротивления опоры и эквивалентного сопротивления заземляющего устройства.</w:t>
      </w:r>
    </w:p>
    <w:p w:rsidR="005119A4" w:rsidRPr="00F763D0" w:rsidRDefault="005119A4" w:rsidP="005119A4">
      <w:pPr>
        <w:pStyle w:val="-"/>
        <w:rPr>
          <w:szCs w:val="18"/>
        </w:rPr>
      </w:pPr>
      <w:r w:rsidRPr="00F763D0">
        <w:rPr>
          <w:szCs w:val="18"/>
        </w:rPr>
        <w:t>Список литературы</w:t>
      </w:r>
    </w:p>
    <w:p w:rsidR="00F763D0" w:rsidRPr="00F763D0" w:rsidRDefault="00F763D0" w:rsidP="00F763D0">
      <w:pPr>
        <w:pStyle w:val="ad"/>
        <w:numPr>
          <w:ilvl w:val="0"/>
          <w:numId w:val="2"/>
        </w:numPr>
        <w:ind w:left="0" w:firstLine="426"/>
        <w:rPr>
          <w:sz w:val="18"/>
          <w:szCs w:val="18"/>
        </w:rPr>
      </w:pPr>
      <w:proofErr w:type="spellStart"/>
      <w:r w:rsidRPr="00F763D0">
        <w:rPr>
          <w:i/>
          <w:sz w:val="18"/>
          <w:szCs w:val="18"/>
        </w:rPr>
        <w:t>Подольцев</w:t>
      </w:r>
      <w:proofErr w:type="spellEnd"/>
      <w:r w:rsidRPr="00F763D0">
        <w:rPr>
          <w:i/>
          <w:sz w:val="18"/>
          <w:szCs w:val="18"/>
        </w:rPr>
        <w:t xml:space="preserve"> А.Д.</w:t>
      </w:r>
      <w:r w:rsidRPr="00F763D0">
        <w:rPr>
          <w:sz w:val="18"/>
          <w:szCs w:val="18"/>
        </w:rPr>
        <w:t xml:space="preserve"> Компьютерное моделирование грозовых перенапряжений в высоковольтной воздушной линии электропередачи // труды Института электродинамики НАН Украины. – 2017. C.94-106. – вып.16. URL: </w:t>
      </w:r>
      <w:hyperlink r:id="rId9" w:history="1">
        <w:r w:rsidRPr="00F763D0">
          <w:rPr>
            <w:sz w:val="18"/>
            <w:szCs w:val="18"/>
          </w:rPr>
          <w:t>https://www.elibrary.ru/item.asp?id=29077287</w:t>
        </w:r>
      </w:hyperlink>
      <w:r w:rsidRPr="00F763D0">
        <w:rPr>
          <w:sz w:val="18"/>
          <w:szCs w:val="18"/>
        </w:rPr>
        <w:t xml:space="preserve"> (дата обращения – 17.03.2021).</w:t>
      </w:r>
    </w:p>
    <w:p w:rsidR="00F763D0" w:rsidRPr="00F763D0" w:rsidRDefault="00F763D0" w:rsidP="00F763D0">
      <w:pPr>
        <w:pStyle w:val="ad"/>
        <w:numPr>
          <w:ilvl w:val="0"/>
          <w:numId w:val="2"/>
        </w:numPr>
        <w:ind w:left="0" w:firstLine="426"/>
        <w:rPr>
          <w:sz w:val="18"/>
          <w:szCs w:val="18"/>
        </w:rPr>
      </w:pPr>
      <w:proofErr w:type="spellStart"/>
      <w:r w:rsidRPr="00F763D0">
        <w:rPr>
          <w:i/>
          <w:sz w:val="18"/>
          <w:szCs w:val="18"/>
        </w:rPr>
        <w:t>Разевиг</w:t>
      </w:r>
      <w:proofErr w:type="spellEnd"/>
      <w:r w:rsidRPr="00F763D0">
        <w:rPr>
          <w:i/>
          <w:sz w:val="18"/>
          <w:szCs w:val="18"/>
        </w:rPr>
        <w:t xml:space="preserve"> Д.В. </w:t>
      </w:r>
      <w:r w:rsidRPr="00487D7E">
        <w:rPr>
          <w:sz w:val="18"/>
          <w:szCs w:val="18"/>
        </w:rPr>
        <w:t>Техника высоких напряжений</w:t>
      </w:r>
      <w:r w:rsidRPr="00F763D0">
        <w:rPr>
          <w:sz w:val="18"/>
          <w:szCs w:val="18"/>
        </w:rPr>
        <w:t xml:space="preserve"> / Под редакцией Д.В. </w:t>
      </w:r>
      <w:proofErr w:type="spellStart"/>
      <w:r w:rsidRPr="00F763D0">
        <w:rPr>
          <w:sz w:val="18"/>
          <w:szCs w:val="18"/>
        </w:rPr>
        <w:t>Разевига</w:t>
      </w:r>
      <w:proofErr w:type="spellEnd"/>
      <w:r w:rsidRPr="00F763D0">
        <w:rPr>
          <w:sz w:val="18"/>
          <w:szCs w:val="18"/>
        </w:rPr>
        <w:t xml:space="preserve">. М. – Л.: </w:t>
      </w:r>
      <w:proofErr w:type="spellStart"/>
      <w:r w:rsidRPr="00F763D0">
        <w:rPr>
          <w:sz w:val="18"/>
          <w:szCs w:val="18"/>
        </w:rPr>
        <w:t>Госэнергоиздат</w:t>
      </w:r>
      <w:proofErr w:type="spellEnd"/>
      <w:r w:rsidRPr="00F763D0">
        <w:rPr>
          <w:sz w:val="18"/>
          <w:szCs w:val="18"/>
        </w:rPr>
        <w:t>, 1963. – 472 с.</w:t>
      </w:r>
    </w:p>
    <w:p w:rsidR="00F763D0" w:rsidRPr="00F763D0" w:rsidRDefault="00F763D0" w:rsidP="00F763D0">
      <w:pPr>
        <w:pStyle w:val="ad"/>
        <w:numPr>
          <w:ilvl w:val="0"/>
          <w:numId w:val="2"/>
        </w:numPr>
        <w:ind w:left="0" w:firstLine="426"/>
        <w:rPr>
          <w:sz w:val="18"/>
          <w:szCs w:val="18"/>
        </w:rPr>
      </w:pPr>
      <w:r w:rsidRPr="00F763D0">
        <w:rPr>
          <w:i/>
          <w:sz w:val="18"/>
          <w:szCs w:val="18"/>
        </w:rPr>
        <w:t>РД 153-34.3-35.125–99</w:t>
      </w:r>
      <w:r w:rsidRPr="00F763D0">
        <w:rPr>
          <w:sz w:val="18"/>
          <w:szCs w:val="18"/>
        </w:rPr>
        <w:t>. Руководство по защите электрических сетей 6 – 1150</w:t>
      </w:r>
      <w:r w:rsidR="00866E80">
        <w:rPr>
          <w:sz w:val="18"/>
          <w:szCs w:val="18"/>
        </w:rPr>
        <w:t> </w:t>
      </w:r>
      <w:r w:rsidRPr="00F763D0">
        <w:rPr>
          <w:sz w:val="18"/>
          <w:szCs w:val="18"/>
        </w:rPr>
        <w:t>кВ от грозовых и внутренних перенапряжений [Электронный ресурс]</w:t>
      </w:r>
      <w:r w:rsidR="00866E80">
        <w:rPr>
          <w:sz w:val="18"/>
          <w:szCs w:val="18"/>
        </w:rPr>
        <w:t>.</w:t>
      </w:r>
      <w:r w:rsidRPr="00F763D0">
        <w:rPr>
          <w:sz w:val="18"/>
          <w:szCs w:val="18"/>
        </w:rPr>
        <w:t xml:space="preserve"> – URL: https://www.elec.ru/viewer?url=/library/direction/rd_153-34_3-35_125-99.pdf (дата обращения: 09.03.2021).</w:t>
      </w:r>
    </w:p>
    <w:p w:rsidR="005119A4" w:rsidRPr="00640D16" w:rsidRDefault="005119A4" w:rsidP="005119A4">
      <w:pPr>
        <w:pStyle w:val="-1"/>
      </w:pPr>
      <w:r w:rsidRPr="00640D16">
        <w:t>.</w:t>
      </w:r>
    </w:p>
    <w:p w:rsidR="00F84F30" w:rsidRPr="000D3E0F" w:rsidRDefault="005119A4" w:rsidP="000D3E0F">
      <w:pPr>
        <w:jc w:val="right"/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</w:pPr>
      <w:r w:rsidRPr="000D3E0F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 поступил в редколлегию 01.10.21.</w:t>
      </w:r>
    </w:p>
    <w:sectPr w:rsidR="00F84F30" w:rsidRPr="000D3E0F" w:rsidSect="00533BA0">
      <w:pgSz w:w="8391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506"/>
    <w:multiLevelType w:val="hybridMultilevel"/>
    <w:tmpl w:val="08003F14"/>
    <w:lvl w:ilvl="0" w:tplc="3B209424">
      <w:start w:val="1"/>
      <w:numFmt w:val="decimal"/>
      <w:lvlText w:val="%1."/>
      <w:lvlJc w:val="left"/>
      <w:pPr>
        <w:ind w:left="192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69C32732"/>
    <w:multiLevelType w:val="hybridMultilevel"/>
    <w:tmpl w:val="A9F0DE90"/>
    <w:lvl w:ilvl="0" w:tplc="3B209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B0"/>
    <w:rsid w:val="000D3E0F"/>
    <w:rsid w:val="001C3641"/>
    <w:rsid w:val="001E790C"/>
    <w:rsid w:val="00296971"/>
    <w:rsid w:val="00301468"/>
    <w:rsid w:val="00487D7E"/>
    <w:rsid w:val="00490FBB"/>
    <w:rsid w:val="004B34AD"/>
    <w:rsid w:val="004D4233"/>
    <w:rsid w:val="004E69A8"/>
    <w:rsid w:val="005119A4"/>
    <w:rsid w:val="0052055E"/>
    <w:rsid w:val="00533BA0"/>
    <w:rsid w:val="005A6670"/>
    <w:rsid w:val="005C393C"/>
    <w:rsid w:val="005E14B0"/>
    <w:rsid w:val="0070691E"/>
    <w:rsid w:val="007563E2"/>
    <w:rsid w:val="00866E80"/>
    <w:rsid w:val="008B7E02"/>
    <w:rsid w:val="0091686E"/>
    <w:rsid w:val="009F60E8"/>
    <w:rsid w:val="00BE5C44"/>
    <w:rsid w:val="00BE70BF"/>
    <w:rsid w:val="00CE48B3"/>
    <w:rsid w:val="00D070B5"/>
    <w:rsid w:val="00D67480"/>
    <w:rsid w:val="00E60B7D"/>
    <w:rsid w:val="00F763D0"/>
    <w:rsid w:val="00F8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A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5119A4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5">
    <w:name w:val="ФИО"/>
    <w:basedOn w:val="a"/>
    <w:link w:val="a6"/>
    <w:qFormat/>
    <w:rsid w:val="005119A4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4">
    <w:name w:val="удк Знак"/>
    <w:basedOn w:val="a0"/>
    <w:link w:val="a3"/>
    <w:rsid w:val="005119A4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5119A4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6">
    <w:name w:val="ФИО Знак"/>
    <w:basedOn w:val="a0"/>
    <w:link w:val="a5"/>
    <w:rsid w:val="005119A4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5119A4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5119A4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5119A4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8">
    <w:name w:val="Название публикации Знак"/>
    <w:basedOn w:val="a0"/>
    <w:link w:val="a7"/>
    <w:rsid w:val="005119A4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5119A4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5119A4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5119A4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a">
    <w:name w:val="Аннотация Знак"/>
    <w:basedOn w:val="a0"/>
    <w:link w:val="a9"/>
    <w:rsid w:val="005119A4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5119A4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5119A4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5119A4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5119A4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5119A4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c">
    <w:name w:val="Ключевые Знак"/>
    <w:basedOn w:val="a0"/>
    <w:link w:val="ab"/>
    <w:rsid w:val="005119A4"/>
    <w:rPr>
      <w:rFonts w:ascii="Times New Roman" w:eastAsia="Calibri" w:hAnsi="Times New Roman" w:cs="Times New Roman"/>
      <w:i/>
      <w:sz w:val="20"/>
    </w:rPr>
  </w:style>
  <w:style w:type="paragraph" w:customStyle="1" w:styleId="-">
    <w:name w:val="Список лит-ры"/>
    <w:basedOn w:val="a"/>
    <w:link w:val="-0"/>
    <w:qFormat/>
    <w:rsid w:val="005119A4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e">
    <w:name w:val="Текст статьи Знак"/>
    <w:basedOn w:val="a0"/>
    <w:link w:val="ad"/>
    <w:rsid w:val="005119A4"/>
    <w:rPr>
      <w:rFonts w:ascii="Times New Roman" w:eastAsia="Calibri" w:hAnsi="Times New Roman" w:cs="Times New Roman"/>
      <w:sz w:val="20"/>
    </w:rPr>
  </w:style>
  <w:style w:type="paragraph" w:customStyle="1" w:styleId="-1">
    <w:name w:val="Лит-ра"/>
    <w:basedOn w:val="a"/>
    <w:link w:val="-2"/>
    <w:qFormat/>
    <w:rsid w:val="005119A4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5119A4"/>
    <w:rPr>
      <w:rFonts w:ascii="Times New Roman" w:eastAsia="Times New Roman" w:hAnsi="Times New Roman" w:cs="Times New Roman"/>
      <w:b/>
      <w:bCs/>
      <w:sz w:val="18"/>
    </w:rPr>
  </w:style>
  <w:style w:type="character" w:customStyle="1" w:styleId="-2">
    <w:name w:val="Лит-ра Знак"/>
    <w:basedOn w:val="a0"/>
    <w:link w:val="-1"/>
    <w:rsid w:val="005119A4"/>
    <w:rPr>
      <w:rFonts w:ascii="Times New Roman" w:eastAsia="Calibri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CE48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E70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70B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F76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A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5119A4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5">
    <w:name w:val="ФИО"/>
    <w:basedOn w:val="a"/>
    <w:link w:val="a6"/>
    <w:qFormat/>
    <w:rsid w:val="005119A4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4">
    <w:name w:val="удк Знак"/>
    <w:basedOn w:val="a0"/>
    <w:link w:val="a3"/>
    <w:rsid w:val="005119A4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5119A4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6">
    <w:name w:val="ФИО Знак"/>
    <w:basedOn w:val="a0"/>
    <w:link w:val="a5"/>
    <w:rsid w:val="005119A4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5119A4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5119A4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5119A4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8">
    <w:name w:val="Название публикации Знак"/>
    <w:basedOn w:val="a0"/>
    <w:link w:val="a7"/>
    <w:rsid w:val="005119A4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5119A4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5119A4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5119A4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a">
    <w:name w:val="Аннотация Знак"/>
    <w:basedOn w:val="a0"/>
    <w:link w:val="a9"/>
    <w:rsid w:val="005119A4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5119A4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5119A4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5119A4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5119A4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5119A4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c">
    <w:name w:val="Ключевые Знак"/>
    <w:basedOn w:val="a0"/>
    <w:link w:val="ab"/>
    <w:rsid w:val="005119A4"/>
    <w:rPr>
      <w:rFonts w:ascii="Times New Roman" w:eastAsia="Calibri" w:hAnsi="Times New Roman" w:cs="Times New Roman"/>
      <w:i/>
      <w:sz w:val="20"/>
    </w:rPr>
  </w:style>
  <w:style w:type="paragraph" w:customStyle="1" w:styleId="-">
    <w:name w:val="Список лит-ры"/>
    <w:basedOn w:val="a"/>
    <w:link w:val="-0"/>
    <w:qFormat/>
    <w:rsid w:val="005119A4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e">
    <w:name w:val="Текст статьи Знак"/>
    <w:basedOn w:val="a0"/>
    <w:link w:val="ad"/>
    <w:rsid w:val="005119A4"/>
    <w:rPr>
      <w:rFonts w:ascii="Times New Roman" w:eastAsia="Calibri" w:hAnsi="Times New Roman" w:cs="Times New Roman"/>
      <w:sz w:val="20"/>
    </w:rPr>
  </w:style>
  <w:style w:type="paragraph" w:customStyle="1" w:styleId="-1">
    <w:name w:val="Лит-ра"/>
    <w:basedOn w:val="a"/>
    <w:link w:val="-2"/>
    <w:qFormat/>
    <w:rsid w:val="005119A4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5119A4"/>
    <w:rPr>
      <w:rFonts w:ascii="Times New Roman" w:eastAsia="Times New Roman" w:hAnsi="Times New Roman" w:cs="Times New Roman"/>
      <w:b/>
      <w:bCs/>
      <w:sz w:val="18"/>
    </w:rPr>
  </w:style>
  <w:style w:type="character" w:customStyle="1" w:styleId="-2">
    <w:name w:val="Лит-ра Знак"/>
    <w:basedOn w:val="a0"/>
    <w:link w:val="-1"/>
    <w:rsid w:val="005119A4"/>
    <w:rPr>
      <w:rFonts w:ascii="Times New Roman" w:eastAsia="Calibri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CE48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E70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70B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F7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ee@festu.kh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item.asp?id=29077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CBE7-FBA0-4014-BE66-604DF074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Юрьевич Киселев</dc:creator>
  <cp:lastModifiedBy>Ksenia</cp:lastModifiedBy>
  <cp:revision>30</cp:revision>
  <cp:lastPrinted>2021-09-29T22:45:00Z</cp:lastPrinted>
  <dcterms:created xsi:type="dcterms:W3CDTF">2021-09-29T04:32:00Z</dcterms:created>
  <dcterms:modified xsi:type="dcterms:W3CDTF">2021-10-12T13:20:00Z</dcterms:modified>
</cp:coreProperties>
</file>