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11" w:rsidRDefault="00C97713">
      <w:r>
        <w:t>УДК 621.3</w:t>
      </w:r>
    </w:p>
    <w:p w:rsidR="00C97713" w:rsidRPr="00956B0B" w:rsidRDefault="00C97713">
      <w:pPr>
        <w:rPr>
          <w:lang w:val="en-US"/>
        </w:rPr>
      </w:pPr>
      <w:bookmarkStart w:id="0" w:name="_GoBack"/>
      <w:bookmarkEnd w:id="0"/>
    </w:p>
    <w:p w:rsidR="00C97713" w:rsidRPr="00B41796" w:rsidRDefault="00B41796" w:rsidP="00C97713">
      <w:pPr>
        <w:jc w:val="center"/>
      </w:pPr>
      <w:r>
        <w:t>Никита Ильич Антоненк</w:t>
      </w:r>
      <w:r w:rsidR="00A85433">
        <w:t>о</w:t>
      </w:r>
    </w:p>
    <w:p w:rsidR="00C97713" w:rsidRPr="007E001D" w:rsidRDefault="009A6138" w:rsidP="009A6138">
      <w:pPr>
        <w:jc w:val="center"/>
        <w:rPr>
          <w:rStyle w:val="a4"/>
        </w:rPr>
      </w:pPr>
      <w:r>
        <w:t>Владимирский государственный университет имени Александра Григорьевича и Николая Григорьевича Столетовых,</w:t>
      </w:r>
      <w:r w:rsidR="003D0755">
        <w:t xml:space="preserve"> студент, </w:t>
      </w:r>
      <w:r w:rsidR="003F1844">
        <w:t xml:space="preserve">Российская Федерация, г. Владимир, </w:t>
      </w:r>
      <w:hyperlink r:id="rId6" w:history="1">
        <w:r w:rsidR="003F1844" w:rsidRPr="00CC5693">
          <w:rPr>
            <w:rStyle w:val="a4"/>
            <w:lang w:val="en-US"/>
          </w:rPr>
          <w:t>nantonenko</w:t>
        </w:r>
        <w:r w:rsidR="003F1844" w:rsidRPr="00CC5693">
          <w:rPr>
            <w:rStyle w:val="a4"/>
          </w:rPr>
          <w:t>59@</w:t>
        </w:r>
        <w:r w:rsidR="003F1844" w:rsidRPr="00CC5693">
          <w:rPr>
            <w:rStyle w:val="a4"/>
            <w:lang w:val="en-US"/>
          </w:rPr>
          <w:t>gmail</w:t>
        </w:r>
        <w:r w:rsidR="003F1844" w:rsidRPr="00CC5693">
          <w:rPr>
            <w:rStyle w:val="a4"/>
          </w:rPr>
          <w:t>.</w:t>
        </w:r>
        <w:r w:rsidR="003F1844" w:rsidRPr="00CC5693">
          <w:rPr>
            <w:rStyle w:val="a4"/>
            <w:lang w:val="en-US"/>
          </w:rPr>
          <w:t>com</w:t>
        </w:r>
      </w:hyperlink>
    </w:p>
    <w:p w:rsidR="004132C9" w:rsidRPr="003F1844" w:rsidRDefault="004132C9" w:rsidP="009A6138">
      <w:pPr>
        <w:jc w:val="center"/>
      </w:pPr>
    </w:p>
    <w:p w:rsidR="003F1844" w:rsidRDefault="00F132DA" w:rsidP="003F1844">
      <w:pPr>
        <w:jc w:val="center"/>
        <w:rPr>
          <w:lang w:val="en-US"/>
        </w:rPr>
      </w:pPr>
      <w:r>
        <w:rPr>
          <w:lang w:val="en-US"/>
        </w:rPr>
        <w:t>N</w:t>
      </w:r>
      <w:r w:rsidR="005118E0">
        <w:rPr>
          <w:lang w:val="en-US"/>
        </w:rPr>
        <w:t>ikita</w:t>
      </w:r>
      <w:r w:rsidR="00AF7A7F">
        <w:rPr>
          <w:lang w:val="en-US"/>
        </w:rPr>
        <w:t xml:space="preserve"> </w:t>
      </w:r>
      <w:r w:rsidR="003F1844" w:rsidRPr="003F1844">
        <w:rPr>
          <w:lang w:val="en-US"/>
        </w:rPr>
        <w:t>I.</w:t>
      </w:r>
      <w:r w:rsidR="003F1844">
        <w:rPr>
          <w:lang w:val="en-US"/>
        </w:rPr>
        <w:t xml:space="preserve"> </w:t>
      </w:r>
      <w:proofErr w:type="spellStart"/>
      <w:r w:rsidR="003F1844">
        <w:rPr>
          <w:lang w:val="en-US"/>
        </w:rPr>
        <w:t>Antonenko</w:t>
      </w:r>
      <w:proofErr w:type="spellEnd"/>
    </w:p>
    <w:p w:rsidR="00E104F5" w:rsidRDefault="003F1844" w:rsidP="003F1844">
      <w:pPr>
        <w:jc w:val="center"/>
        <w:rPr>
          <w:rStyle w:val="a4"/>
          <w:lang w:val="en-US"/>
        </w:rPr>
      </w:pPr>
      <w:r>
        <w:rPr>
          <w:lang w:val="en-US"/>
        </w:rPr>
        <w:t xml:space="preserve">Vladimir state university named after Alexander and </w:t>
      </w:r>
      <w:proofErr w:type="spellStart"/>
      <w:r>
        <w:rPr>
          <w:lang w:val="en-US"/>
        </w:rPr>
        <w:t>Nikolay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Stoletovs</w:t>
      </w:r>
      <w:proofErr w:type="spellEnd"/>
      <w:r w:rsidR="00E104F5">
        <w:rPr>
          <w:lang w:val="en-US"/>
        </w:rPr>
        <w:t xml:space="preserve">, student, Russian Federation, Vladimir, </w:t>
      </w:r>
      <w:hyperlink r:id="rId7" w:history="1">
        <w:r w:rsidR="00E104F5" w:rsidRPr="00CC5693">
          <w:rPr>
            <w:rStyle w:val="a4"/>
            <w:lang w:val="en-US"/>
          </w:rPr>
          <w:t>nantonenko59@gmail.com</w:t>
        </w:r>
      </w:hyperlink>
    </w:p>
    <w:p w:rsidR="004132C9" w:rsidRDefault="004132C9" w:rsidP="003F1844">
      <w:pPr>
        <w:jc w:val="center"/>
        <w:rPr>
          <w:lang w:val="en-US"/>
        </w:rPr>
      </w:pPr>
    </w:p>
    <w:p w:rsidR="00E104F5" w:rsidRDefault="00F518BD" w:rsidP="003F1844">
      <w:pPr>
        <w:jc w:val="center"/>
      </w:pPr>
      <w:r>
        <w:t>Меркутов Александр Сергеевич</w:t>
      </w:r>
    </w:p>
    <w:p w:rsidR="00577921" w:rsidRPr="007E001D" w:rsidRDefault="00577921" w:rsidP="00577921">
      <w:pPr>
        <w:jc w:val="center"/>
        <w:rPr>
          <w:rStyle w:val="a4"/>
        </w:rPr>
      </w:pPr>
      <w:r>
        <w:t xml:space="preserve">Владимирский государственный университет имени Александра Григорьевича и Николая Григорьевича Столетовых, к.т.н., доцент, Российская Федерация, г. Владимир, </w:t>
      </w:r>
      <w:hyperlink r:id="rId8" w:history="1">
        <w:r w:rsidRPr="00F86DC1">
          <w:rPr>
            <w:rStyle w:val="a4"/>
            <w:lang w:val="en-US"/>
          </w:rPr>
          <w:t>merkutov</w:t>
        </w:r>
        <w:r w:rsidRPr="00F86DC1">
          <w:rPr>
            <w:rStyle w:val="a4"/>
          </w:rPr>
          <w:t>@</w:t>
        </w:r>
        <w:r w:rsidRPr="00F86DC1">
          <w:rPr>
            <w:rStyle w:val="a4"/>
            <w:lang w:val="en-US"/>
          </w:rPr>
          <w:t>yandex</w:t>
        </w:r>
        <w:r w:rsidRPr="00577921">
          <w:rPr>
            <w:rStyle w:val="a4"/>
          </w:rPr>
          <w:t>.</w:t>
        </w:r>
        <w:proofErr w:type="spellStart"/>
        <w:r w:rsidRPr="00F86DC1">
          <w:rPr>
            <w:rStyle w:val="a4"/>
            <w:lang w:val="en-US"/>
          </w:rPr>
          <w:t>ru</w:t>
        </w:r>
        <w:proofErr w:type="spellEnd"/>
      </w:hyperlink>
    </w:p>
    <w:p w:rsidR="004132C9" w:rsidRDefault="004132C9" w:rsidP="00577921">
      <w:pPr>
        <w:jc w:val="center"/>
      </w:pPr>
    </w:p>
    <w:p w:rsidR="004132C9" w:rsidRPr="004132C9" w:rsidRDefault="004132C9" w:rsidP="00577921">
      <w:pPr>
        <w:jc w:val="center"/>
        <w:rPr>
          <w:lang w:val="en-US"/>
        </w:rPr>
      </w:pPr>
      <w:proofErr w:type="spellStart"/>
      <w:r>
        <w:rPr>
          <w:lang w:val="en-US"/>
        </w:rPr>
        <w:t>Aleksandr</w:t>
      </w:r>
      <w:proofErr w:type="spellEnd"/>
      <w:r>
        <w:rPr>
          <w:lang w:val="en-US"/>
        </w:rPr>
        <w:t xml:space="preserve"> S. </w:t>
      </w:r>
      <w:proofErr w:type="spellStart"/>
      <w:r>
        <w:rPr>
          <w:lang w:val="en-US"/>
        </w:rPr>
        <w:t>Merkutov</w:t>
      </w:r>
      <w:proofErr w:type="spellEnd"/>
    </w:p>
    <w:p w:rsidR="00577921" w:rsidRPr="00577921" w:rsidRDefault="00577921" w:rsidP="00577921">
      <w:pPr>
        <w:jc w:val="center"/>
        <w:rPr>
          <w:lang w:val="en-US"/>
        </w:rPr>
      </w:pPr>
      <w:r>
        <w:rPr>
          <w:lang w:val="en-US"/>
        </w:rPr>
        <w:t xml:space="preserve">Vladimir state university named after Alexander and </w:t>
      </w:r>
      <w:proofErr w:type="spellStart"/>
      <w:r>
        <w:rPr>
          <w:lang w:val="en-US"/>
        </w:rPr>
        <w:t>Nikolay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Stoletovs</w:t>
      </w:r>
      <w:proofErr w:type="spellEnd"/>
      <w:r>
        <w:rPr>
          <w:lang w:val="en-US"/>
        </w:rPr>
        <w:t xml:space="preserve">, assistant professor, Russian Federation, Vladimir, </w:t>
      </w:r>
      <w:hyperlink r:id="rId9" w:history="1">
        <w:r w:rsidRPr="00F86DC1">
          <w:rPr>
            <w:rStyle w:val="a4"/>
            <w:lang w:val="en-US"/>
          </w:rPr>
          <w:t>merkutov</w:t>
        </w:r>
        <w:r w:rsidRPr="00577921">
          <w:rPr>
            <w:rStyle w:val="a4"/>
            <w:lang w:val="en-US"/>
          </w:rPr>
          <w:t>@</w:t>
        </w:r>
        <w:r w:rsidRPr="00F86DC1">
          <w:rPr>
            <w:rStyle w:val="a4"/>
            <w:lang w:val="en-US"/>
          </w:rPr>
          <w:t>yandex</w:t>
        </w:r>
        <w:r w:rsidRPr="00577921">
          <w:rPr>
            <w:rStyle w:val="a4"/>
            <w:lang w:val="en-US"/>
          </w:rPr>
          <w:t>.</w:t>
        </w:r>
        <w:r w:rsidRPr="00F86DC1">
          <w:rPr>
            <w:rStyle w:val="a4"/>
            <w:lang w:val="en-US"/>
          </w:rPr>
          <w:t>ru</w:t>
        </w:r>
      </w:hyperlink>
    </w:p>
    <w:p w:rsidR="00577921" w:rsidRPr="00577921" w:rsidRDefault="00577921" w:rsidP="0060244A">
      <w:pPr>
        <w:jc w:val="center"/>
        <w:rPr>
          <w:b/>
          <w:bCs/>
          <w:lang w:val="en-US"/>
        </w:rPr>
      </w:pPr>
    </w:p>
    <w:p w:rsidR="00E104F5" w:rsidRPr="0023078F" w:rsidRDefault="001A2702" w:rsidP="0060244A">
      <w:pPr>
        <w:jc w:val="center"/>
        <w:rPr>
          <w:b/>
          <w:bCs/>
        </w:rPr>
      </w:pPr>
      <w:r w:rsidRPr="001A2702">
        <w:rPr>
          <w:b/>
          <w:bCs/>
        </w:rPr>
        <w:t xml:space="preserve">МОДЕЛИРОВАНИЕ УСИЛИТЕЛЕЙ РАДИОПЕРЕДАЮЩИХ УСТРОЙСТВ В САПР </w:t>
      </w:r>
      <w:r w:rsidRPr="001A2702">
        <w:rPr>
          <w:b/>
          <w:bCs/>
          <w:lang w:val="en-US"/>
        </w:rPr>
        <w:t>MATLAB</w:t>
      </w:r>
    </w:p>
    <w:p w:rsidR="0060244A" w:rsidRPr="0060244A" w:rsidRDefault="0060244A" w:rsidP="0060244A">
      <w:pPr>
        <w:jc w:val="center"/>
        <w:rPr>
          <w:b/>
          <w:bCs/>
        </w:rPr>
      </w:pPr>
    </w:p>
    <w:p w:rsidR="001A2702" w:rsidRDefault="001A2702" w:rsidP="003F1844">
      <w:pPr>
        <w:jc w:val="center"/>
        <w:rPr>
          <w:lang w:val="en-US"/>
        </w:rPr>
      </w:pPr>
      <w:r w:rsidRPr="001A2702">
        <w:rPr>
          <w:lang w:val="en-US"/>
        </w:rPr>
        <w:t>MODELING OF RADIO TRANSMITTER AMPLIFIERS IN MATLAB CAD</w:t>
      </w:r>
    </w:p>
    <w:p w:rsidR="0060244A" w:rsidRPr="0060244A" w:rsidRDefault="0060244A" w:rsidP="0060244A">
      <w:pPr>
        <w:rPr>
          <w:lang w:val="en-US"/>
        </w:rPr>
      </w:pPr>
    </w:p>
    <w:p w:rsidR="00E104F5" w:rsidRDefault="0060244A" w:rsidP="0060244A">
      <w:pPr>
        <w:rPr>
          <w:i/>
          <w:iCs/>
        </w:rPr>
      </w:pPr>
      <w:r w:rsidRPr="00924CCA">
        <w:rPr>
          <w:i/>
          <w:iCs/>
        </w:rPr>
        <w:t xml:space="preserve">Аннотация. Приведён обзор средств моделирования усилителей радиопередающих устройств в САПР </w:t>
      </w:r>
      <w:proofErr w:type="spellStart"/>
      <w:r w:rsidRPr="00924CCA">
        <w:rPr>
          <w:i/>
          <w:iCs/>
          <w:lang w:val="en-US"/>
        </w:rPr>
        <w:t>Matlab</w:t>
      </w:r>
      <w:proofErr w:type="spellEnd"/>
      <w:r w:rsidR="00F23944" w:rsidRPr="00924CCA">
        <w:rPr>
          <w:i/>
          <w:iCs/>
        </w:rPr>
        <w:t>, а также их возможности и ограничения</w:t>
      </w:r>
      <w:r w:rsidRPr="00924CCA">
        <w:rPr>
          <w:i/>
          <w:iCs/>
        </w:rPr>
        <w:t>.</w:t>
      </w:r>
    </w:p>
    <w:p w:rsidR="00924CCA" w:rsidRDefault="00924CCA" w:rsidP="0060244A">
      <w:pPr>
        <w:rPr>
          <w:i/>
          <w:iCs/>
          <w:lang w:val="en-US"/>
        </w:rPr>
      </w:pPr>
      <w:r w:rsidRPr="00924CCA">
        <w:rPr>
          <w:i/>
          <w:iCs/>
          <w:lang w:val="en-US"/>
        </w:rPr>
        <w:t xml:space="preserve">Abstract. A review of modeling tools for radio transmitter amplifiers in </w:t>
      </w:r>
      <w:proofErr w:type="spellStart"/>
      <w:r w:rsidRPr="00924CCA">
        <w:rPr>
          <w:i/>
          <w:iCs/>
          <w:lang w:val="en-US"/>
        </w:rPr>
        <w:t>Matlab</w:t>
      </w:r>
      <w:proofErr w:type="spellEnd"/>
      <w:r w:rsidRPr="00924CCA">
        <w:rPr>
          <w:i/>
          <w:iCs/>
          <w:lang w:val="en-US"/>
        </w:rPr>
        <w:t xml:space="preserve"> CAD, as well as their capabilities and limitations, is given.</w:t>
      </w:r>
    </w:p>
    <w:p w:rsidR="000B5635" w:rsidRDefault="000B5635" w:rsidP="0060244A">
      <w:pPr>
        <w:rPr>
          <w:i/>
          <w:iCs/>
        </w:rPr>
      </w:pPr>
      <w:r>
        <w:rPr>
          <w:i/>
          <w:iCs/>
        </w:rPr>
        <w:t xml:space="preserve">Ключевые слова: радиопередающее устройство, САПР </w:t>
      </w:r>
      <w:proofErr w:type="spellStart"/>
      <w:r>
        <w:rPr>
          <w:i/>
          <w:iCs/>
          <w:lang w:val="en-US"/>
        </w:rPr>
        <w:t>Matlab</w:t>
      </w:r>
      <w:proofErr w:type="spellEnd"/>
      <w:r>
        <w:rPr>
          <w:i/>
          <w:iCs/>
        </w:rPr>
        <w:t xml:space="preserve">, усилитель, </w:t>
      </w:r>
      <w:proofErr w:type="spellStart"/>
      <w:r>
        <w:rPr>
          <w:i/>
          <w:iCs/>
        </w:rPr>
        <w:t>предысказитель</w:t>
      </w:r>
      <w:proofErr w:type="spellEnd"/>
      <w:r>
        <w:rPr>
          <w:i/>
          <w:iCs/>
        </w:rPr>
        <w:t>.</w:t>
      </w:r>
    </w:p>
    <w:p w:rsidR="0001393B" w:rsidRDefault="0001393B" w:rsidP="0060244A">
      <w:pPr>
        <w:rPr>
          <w:i/>
          <w:iCs/>
          <w:lang w:val="en-US"/>
        </w:rPr>
      </w:pPr>
      <w:r w:rsidRPr="0001393B">
        <w:rPr>
          <w:i/>
          <w:iCs/>
          <w:lang w:val="en-US"/>
        </w:rPr>
        <w:t xml:space="preserve">Key words: radio transmitting device, </w:t>
      </w:r>
      <w:proofErr w:type="spellStart"/>
      <w:r w:rsidRPr="0001393B">
        <w:rPr>
          <w:i/>
          <w:iCs/>
          <w:lang w:val="en-US"/>
        </w:rPr>
        <w:t>Matlab</w:t>
      </w:r>
      <w:proofErr w:type="spellEnd"/>
      <w:r w:rsidRPr="0001393B">
        <w:rPr>
          <w:i/>
          <w:iCs/>
          <w:lang w:val="en-US"/>
        </w:rPr>
        <w:t xml:space="preserve"> CAD, amplifier, </w:t>
      </w:r>
      <w:proofErr w:type="spellStart"/>
      <w:r w:rsidRPr="0001393B">
        <w:rPr>
          <w:i/>
          <w:iCs/>
          <w:lang w:val="en-US"/>
        </w:rPr>
        <w:t>pr</w:t>
      </w:r>
      <w:r w:rsidR="009C36C4">
        <w:rPr>
          <w:i/>
          <w:iCs/>
          <w:lang w:val="en-US"/>
        </w:rPr>
        <w:t>edistorter</w:t>
      </w:r>
      <w:proofErr w:type="spellEnd"/>
      <w:r w:rsidRPr="0001393B">
        <w:rPr>
          <w:i/>
          <w:iCs/>
          <w:lang w:val="en-US"/>
        </w:rPr>
        <w:t>.</w:t>
      </w:r>
    </w:p>
    <w:p w:rsidR="00AC55C8" w:rsidRDefault="00AC55C8" w:rsidP="0060244A">
      <w:pPr>
        <w:rPr>
          <w:i/>
          <w:iCs/>
          <w:lang w:val="en-US"/>
        </w:rPr>
      </w:pPr>
    </w:p>
    <w:p w:rsidR="00386C56" w:rsidRDefault="00244342" w:rsidP="0060244A">
      <w:r>
        <w:t>Современные</w:t>
      </w:r>
      <w:r w:rsidRPr="006268BB">
        <w:t xml:space="preserve"> </w:t>
      </w:r>
      <w:r>
        <w:t>стандарты</w:t>
      </w:r>
      <w:r w:rsidRPr="006268BB">
        <w:t xml:space="preserve"> </w:t>
      </w:r>
      <w:r>
        <w:t>связи</w:t>
      </w:r>
      <w:r w:rsidRPr="006268BB">
        <w:t xml:space="preserve"> </w:t>
      </w:r>
      <w:r>
        <w:t>четвёртого</w:t>
      </w:r>
      <w:r w:rsidRPr="006268BB">
        <w:t xml:space="preserve"> </w:t>
      </w:r>
      <w:r>
        <w:t>и</w:t>
      </w:r>
      <w:r w:rsidRPr="006268BB">
        <w:t xml:space="preserve"> </w:t>
      </w:r>
      <w:r>
        <w:t>пятого</w:t>
      </w:r>
      <w:r w:rsidRPr="006268BB">
        <w:t xml:space="preserve"> </w:t>
      </w:r>
      <w:r>
        <w:t>поколения</w:t>
      </w:r>
      <w:r w:rsidRPr="006268BB">
        <w:t xml:space="preserve"> </w:t>
      </w:r>
      <w:r w:rsidR="00A95BE7">
        <w:t>используют</w:t>
      </w:r>
      <w:r w:rsidR="005C10D0" w:rsidRPr="006268BB">
        <w:t xml:space="preserve"> </w:t>
      </w:r>
      <w:r w:rsidR="005C10D0">
        <w:rPr>
          <w:lang w:val="en-US"/>
        </w:rPr>
        <w:t>OFDM</w:t>
      </w:r>
      <w:r w:rsidR="005C10D0" w:rsidRPr="006268BB">
        <w:t xml:space="preserve"> (</w:t>
      </w:r>
      <w:r w:rsidR="005C10D0" w:rsidRPr="005C10D0">
        <w:rPr>
          <w:lang w:val="en-US"/>
        </w:rPr>
        <w:t>Orthogonal</w:t>
      </w:r>
      <w:r w:rsidR="005C10D0" w:rsidRPr="006268BB">
        <w:t xml:space="preserve"> </w:t>
      </w:r>
      <w:r w:rsidR="005C10D0" w:rsidRPr="005C10D0">
        <w:rPr>
          <w:lang w:val="en-US"/>
        </w:rPr>
        <w:t>frequency</w:t>
      </w:r>
      <w:r w:rsidR="005C10D0" w:rsidRPr="006268BB">
        <w:t>-</w:t>
      </w:r>
      <w:r w:rsidR="005C10D0" w:rsidRPr="005C10D0">
        <w:rPr>
          <w:lang w:val="en-US"/>
        </w:rPr>
        <w:t>division</w:t>
      </w:r>
      <w:r w:rsidR="005C10D0" w:rsidRPr="006268BB">
        <w:t xml:space="preserve"> </w:t>
      </w:r>
      <w:r w:rsidR="005C10D0" w:rsidRPr="005C10D0">
        <w:rPr>
          <w:lang w:val="en-US"/>
        </w:rPr>
        <w:t>multiplexing</w:t>
      </w:r>
      <w:r w:rsidR="005C10D0" w:rsidRPr="006268BB">
        <w:t xml:space="preserve">) </w:t>
      </w:r>
      <w:r w:rsidR="005C10D0">
        <w:t>модуляцию</w:t>
      </w:r>
      <w:r w:rsidR="006268BB">
        <w:t>, отличительной особенностью которой является наличие множества</w:t>
      </w:r>
      <w:r w:rsidR="009F75DE">
        <w:t xml:space="preserve"> близко расположенных ортогональных </w:t>
      </w:r>
      <w:proofErr w:type="spellStart"/>
      <w:r w:rsidR="009F75DE">
        <w:t>поднесущих</w:t>
      </w:r>
      <w:proofErr w:type="spellEnd"/>
      <w:r w:rsidR="006268BB">
        <w:t xml:space="preserve"> сигнала</w:t>
      </w:r>
      <w:r w:rsidR="009F75DE">
        <w:t xml:space="preserve">. </w:t>
      </w:r>
      <w:proofErr w:type="spellStart"/>
      <w:r w:rsidR="006268BB">
        <w:t>Ш</w:t>
      </w:r>
      <w:r w:rsidR="00061130">
        <w:t>умоподобная</w:t>
      </w:r>
      <w:proofErr w:type="spellEnd"/>
      <w:r w:rsidR="00061130">
        <w:t xml:space="preserve"> структура сигнала с периодически возникающими большими пиками</w:t>
      </w:r>
      <w:r w:rsidR="006268BB">
        <w:t xml:space="preserve"> мгновенной мощности</w:t>
      </w:r>
      <w:r w:rsidR="00061130">
        <w:t xml:space="preserve"> </w:t>
      </w:r>
      <w:r w:rsidR="00063A7D">
        <w:t>может</w:t>
      </w:r>
      <w:r w:rsidR="006268BB">
        <w:t xml:space="preserve"> привести к значительному увеличению  </w:t>
      </w:r>
      <w:r w:rsidR="00061130">
        <w:t xml:space="preserve"> </w:t>
      </w:r>
      <w:r w:rsidR="00063A7D">
        <w:t xml:space="preserve">уровней </w:t>
      </w:r>
      <w:r w:rsidR="006268BB">
        <w:t xml:space="preserve"> </w:t>
      </w:r>
      <w:proofErr w:type="spellStart"/>
      <w:r w:rsidR="006268BB">
        <w:t>внутриполосных</w:t>
      </w:r>
      <w:proofErr w:type="spellEnd"/>
      <w:r w:rsidR="006268BB">
        <w:t xml:space="preserve"> интермодуляционных составляющих</w:t>
      </w:r>
      <w:r w:rsidR="00063A7D">
        <w:t xml:space="preserve"> и </w:t>
      </w:r>
      <w:r w:rsidR="00061130">
        <w:t xml:space="preserve"> боковых лепестков </w:t>
      </w:r>
      <w:r w:rsidR="00063A7D">
        <w:t xml:space="preserve">в </w:t>
      </w:r>
      <w:r w:rsidR="00D13234">
        <w:t>спектр</w:t>
      </w:r>
      <w:r w:rsidR="00063A7D">
        <w:t>е</w:t>
      </w:r>
      <w:r w:rsidR="00D13234">
        <w:t xml:space="preserve"> </w:t>
      </w:r>
      <w:r w:rsidR="00063A7D">
        <w:t>мощности на выходе усилителя</w:t>
      </w:r>
      <w:r w:rsidR="00444BD3">
        <w:t xml:space="preserve"> </w:t>
      </w:r>
      <w:r w:rsidR="00444BD3" w:rsidRPr="00444BD3">
        <w:t>[</w:t>
      </w:r>
      <w:r w:rsidR="00444BD3" w:rsidRPr="00386C56">
        <w:t>1</w:t>
      </w:r>
      <w:r w:rsidR="00444BD3" w:rsidRPr="00444BD3">
        <w:t>]</w:t>
      </w:r>
      <w:r w:rsidR="00D13234">
        <w:t>.</w:t>
      </w:r>
      <w:r w:rsidR="00386C56">
        <w:t xml:space="preserve"> </w:t>
      </w:r>
    </w:p>
    <w:p w:rsidR="000224D2" w:rsidRDefault="00063A7D" w:rsidP="0060244A">
      <w:r>
        <w:t xml:space="preserve">Требования к уровням </w:t>
      </w:r>
      <w:r w:rsidR="00386C56">
        <w:t>внеполос</w:t>
      </w:r>
      <w:r>
        <w:t>ных</w:t>
      </w:r>
      <w:r w:rsidR="00386C56">
        <w:t xml:space="preserve"> излучени</w:t>
      </w:r>
      <w:r>
        <w:t>й</w:t>
      </w:r>
      <w:r w:rsidR="00386C56">
        <w:t xml:space="preserve"> радиопередающего </w:t>
      </w:r>
      <w:r w:rsidR="00386C56">
        <w:lastRenderedPageBreak/>
        <w:t xml:space="preserve">устройства регламентируются стандартами связи и накладывают ограничения на мощность выходного сигнала </w:t>
      </w:r>
      <w:r w:rsidR="007E001D">
        <w:t>и</w:t>
      </w:r>
      <w:r w:rsidR="00386C56">
        <w:t xml:space="preserve"> эффективность усилителя.</w:t>
      </w:r>
      <w:r w:rsidR="00157D17">
        <w:t xml:space="preserve"> </w:t>
      </w:r>
      <w:r w:rsidR="00054648">
        <w:t xml:space="preserve">Для соблюдения вышеуказанных  требований </w:t>
      </w:r>
      <w:r w:rsidR="00C25D4F">
        <w:t>необходимо, чтобы усилитель работал в линейном режим</w:t>
      </w:r>
      <w:r w:rsidR="00054648">
        <w:t>е с низким значением коэфф</w:t>
      </w:r>
      <w:r w:rsidR="007E001D">
        <w:t>ициента полезного действия</w:t>
      </w:r>
      <w:r w:rsidR="00C25D4F">
        <w:t xml:space="preserve">, </w:t>
      </w:r>
      <w:r w:rsidR="00054648">
        <w:t>который не будет  превышать</w:t>
      </w:r>
      <w:r w:rsidR="00B93234">
        <w:t xml:space="preserve"> </w:t>
      </w:r>
      <w:r w:rsidR="00C25D4F" w:rsidRPr="00C25D4F">
        <w:t>10%.</w:t>
      </w:r>
      <w:r w:rsidR="00C25D4F">
        <w:t xml:space="preserve"> </w:t>
      </w:r>
      <w:r w:rsidR="00350534">
        <w:t>Линеаризация усилителя позвол</w:t>
      </w:r>
      <w:r w:rsidR="00054648">
        <w:t>ит</w:t>
      </w:r>
      <w:r w:rsidR="00350534">
        <w:t xml:space="preserve"> повысить его эффективность </w:t>
      </w:r>
      <w:r w:rsidR="00054648">
        <w:t xml:space="preserve">при функционировании </w:t>
      </w:r>
      <w:r w:rsidR="00350534">
        <w:t xml:space="preserve"> в нелинейном режиме</w:t>
      </w:r>
      <w:r w:rsidR="007B246F" w:rsidRPr="007B246F">
        <w:t xml:space="preserve"> [</w:t>
      </w:r>
      <w:r w:rsidR="007B246F" w:rsidRPr="00130DA9">
        <w:t>2</w:t>
      </w:r>
      <w:r w:rsidR="007B246F" w:rsidRPr="007B246F">
        <w:t>]</w:t>
      </w:r>
      <w:r w:rsidR="00350534">
        <w:t>.</w:t>
      </w:r>
      <w:r w:rsidR="00054648">
        <w:t xml:space="preserve"> </w:t>
      </w:r>
      <w:r w:rsidR="008B5D19">
        <w:t>Для линеаризации усилителей используются</w:t>
      </w:r>
      <w:r w:rsidR="00962D75">
        <w:t xml:space="preserve"> цифровые </w:t>
      </w:r>
      <w:proofErr w:type="spellStart"/>
      <w:r w:rsidR="00962D75">
        <w:t>предысказители</w:t>
      </w:r>
      <w:proofErr w:type="spellEnd"/>
      <w:r w:rsidR="00962D75">
        <w:t xml:space="preserve">,  вносящие в передаваемый сигнал искажения, обратные тем, </w:t>
      </w:r>
      <w:r w:rsidR="007E001D">
        <w:t>которые</w:t>
      </w:r>
      <w:r w:rsidR="00962D75">
        <w:t xml:space="preserve"> накладываются на сигнал при его прохождении через усилитель. </w:t>
      </w:r>
    </w:p>
    <w:p w:rsidR="00AC6AD3" w:rsidRDefault="007E001D" w:rsidP="0060244A">
      <w:r>
        <w:t xml:space="preserve">Цель </w:t>
      </w:r>
      <w:r w:rsidR="000224D2">
        <w:t xml:space="preserve"> </w:t>
      </w:r>
      <w:r>
        <w:t>моделирования усилителей заключалась в исследовании</w:t>
      </w:r>
      <w:r w:rsidR="000224D2">
        <w:t xml:space="preserve"> </w:t>
      </w:r>
      <w:proofErr w:type="spellStart"/>
      <w:r w:rsidR="000224D2">
        <w:t>энергоэффективных</w:t>
      </w:r>
      <w:proofErr w:type="spellEnd"/>
      <w:r w:rsidR="000224D2">
        <w:t xml:space="preserve"> способов </w:t>
      </w:r>
      <w:proofErr w:type="spellStart"/>
      <w:r w:rsidR="000224D2">
        <w:t>предыскажения</w:t>
      </w:r>
      <w:proofErr w:type="spellEnd"/>
      <w:r w:rsidR="000224D2">
        <w:t xml:space="preserve"> сигнала.</w:t>
      </w:r>
    </w:p>
    <w:p w:rsidR="00E80312" w:rsidRDefault="00AC6AD3" w:rsidP="00E80312">
      <w:r>
        <w:t xml:space="preserve">САПР </w:t>
      </w:r>
      <w:proofErr w:type="spellStart"/>
      <w:r>
        <w:rPr>
          <w:lang w:val="en-US"/>
        </w:rPr>
        <w:t>Matlab</w:t>
      </w:r>
      <w:proofErr w:type="spellEnd"/>
      <w:r w:rsidRPr="00AC6AD3">
        <w:t xml:space="preserve"> </w:t>
      </w:r>
      <w:r>
        <w:t>предоставляет набор инструментов для  моделирования усилителей.</w:t>
      </w:r>
      <w:r w:rsidR="00054648">
        <w:t xml:space="preserve"> </w:t>
      </w:r>
      <w:r w:rsidR="00800BCE">
        <w:t>Для проведения исследований</w:t>
      </w:r>
      <w:r w:rsidR="00B0293B">
        <w:t xml:space="preserve"> </w:t>
      </w:r>
      <w:r w:rsidR="00800BCE">
        <w:t xml:space="preserve">был </w:t>
      </w:r>
      <w:r w:rsidR="00B0293B">
        <w:t>использ</w:t>
      </w:r>
      <w:r w:rsidR="00800BCE">
        <w:t xml:space="preserve">ован </w:t>
      </w:r>
      <w:r w:rsidR="007E7506">
        <w:t xml:space="preserve"> </w:t>
      </w:r>
      <w:r w:rsidR="00800BCE">
        <w:rPr>
          <w:lang w:val="en-US"/>
        </w:rPr>
        <w:t>OFDM</w:t>
      </w:r>
      <w:r w:rsidR="00800BCE" w:rsidRPr="00800BCE">
        <w:t xml:space="preserve"> </w:t>
      </w:r>
      <w:r w:rsidR="00800BCE">
        <w:t>сигнал с</w:t>
      </w:r>
      <w:r w:rsidR="00800BCE" w:rsidRPr="00800BCE">
        <w:t xml:space="preserve"> </w:t>
      </w:r>
      <w:r w:rsidR="00800BCE">
        <w:t xml:space="preserve">модуляцией </w:t>
      </w:r>
      <w:r w:rsidR="00800BCE">
        <w:rPr>
          <w:lang w:val="en-US"/>
        </w:rPr>
        <w:t>QAM</w:t>
      </w:r>
      <w:r w:rsidR="00800BCE" w:rsidRPr="0023078F">
        <w:t xml:space="preserve">-64 </w:t>
      </w:r>
      <w:r w:rsidR="00800BCE">
        <w:t xml:space="preserve">символов </w:t>
      </w:r>
      <w:proofErr w:type="spellStart"/>
      <w:r w:rsidR="00800BCE">
        <w:t>поднесущих</w:t>
      </w:r>
      <w:proofErr w:type="spellEnd"/>
      <w:r w:rsidR="00800BCE">
        <w:t xml:space="preserve"> и следующими параметрами:</w:t>
      </w:r>
      <w:r w:rsidR="007E7506">
        <w:t xml:space="preserve"> ширин</w:t>
      </w:r>
      <w:r w:rsidR="00800BCE">
        <w:t>а</w:t>
      </w:r>
      <w:r w:rsidR="007E7506">
        <w:t xml:space="preserve"> полосы 100 МГц</w:t>
      </w:r>
      <w:r w:rsidR="00800BCE">
        <w:t>,</w:t>
      </w:r>
      <w:r w:rsidR="007E7506">
        <w:t xml:space="preserve"> частот</w:t>
      </w:r>
      <w:r w:rsidR="00800BCE">
        <w:t>а</w:t>
      </w:r>
      <w:r w:rsidR="007E7506">
        <w:t xml:space="preserve"> дискретизации 700 МГц</w:t>
      </w:r>
      <w:r w:rsidR="00B0293B">
        <w:t>.</w:t>
      </w:r>
      <w:r w:rsidR="007E7506">
        <w:t xml:space="preserve"> </w:t>
      </w:r>
    </w:p>
    <w:p w:rsidR="00C17596" w:rsidRPr="006728BA" w:rsidRDefault="008164A3" w:rsidP="00E80312">
      <w:pPr>
        <w:rPr>
          <w:strike/>
        </w:rPr>
      </w:pPr>
      <w:r>
        <w:t>На начальных этапах исследований</w:t>
      </w:r>
      <w:r w:rsidR="00C17596">
        <w:t xml:space="preserve"> </w:t>
      </w:r>
      <w:r>
        <w:t>были</w:t>
      </w:r>
      <w:r w:rsidR="00C17596">
        <w:t xml:space="preserve"> рассмотрены модели усилителей без памяти.</w:t>
      </w:r>
      <w:r w:rsidR="006A626C">
        <w:t xml:space="preserve"> Эффект памяти в усилителях о</w:t>
      </w:r>
      <w:r w:rsidR="007E001D">
        <w:t>пределяется</w:t>
      </w:r>
      <w:r w:rsidR="006A626C">
        <w:t xml:space="preserve"> </w:t>
      </w:r>
      <w:r>
        <w:t>наличием реактивных цепей</w:t>
      </w:r>
      <w:r w:rsidR="006A626C">
        <w:t xml:space="preserve"> в </w:t>
      </w:r>
      <w:r w:rsidR="006728BA">
        <w:t>схеме усилителя</w:t>
      </w:r>
      <w:r w:rsidR="00B13436">
        <w:t>.</w:t>
      </w:r>
      <w:r w:rsidR="00EF282A" w:rsidRPr="006728BA">
        <w:rPr>
          <w:strike/>
          <w:highlight w:val="yellow"/>
        </w:rPr>
        <w:t xml:space="preserve"> </w:t>
      </w:r>
    </w:p>
    <w:p w:rsidR="007630BE" w:rsidRDefault="006728BA" w:rsidP="00E80312">
      <w:r>
        <w:t xml:space="preserve">В </w:t>
      </w:r>
      <w:r w:rsidR="00A51F9C">
        <w:t xml:space="preserve">САПР </w:t>
      </w:r>
      <w:proofErr w:type="spellStart"/>
      <w:r w:rsidR="00A51F9C">
        <w:rPr>
          <w:lang w:val="en-US"/>
        </w:rPr>
        <w:t>Matlab</w:t>
      </w:r>
      <w:proofErr w:type="spellEnd"/>
      <w:r w:rsidR="00A51F9C" w:rsidRPr="00A51F9C">
        <w:t xml:space="preserve"> </w:t>
      </w:r>
      <w:r w:rsidR="007E001D">
        <w:t>для</w:t>
      </w:r>
      <w:r w:rsidR="00A51F9C">
        <w:t xml:space="preserve"> моделирования усилителей предлагает</w:t>
      </w:r>
      <w:r>
        <w:t>ся использовать</w:t>
      </w:r>
      <w:r w:rsidR="00A51F9C">
        <w:t xml:space="preserve"> класс </w:t>
      </w:r>
      <w:r w:rsidR="00A51F9C">
        <w:rPr>
          <w:lang w:val="en-US"/>
        </w:rPr>
        <w:t>Amplifier</w:t>
      </w:r>
      <w:r w:rsidR="00A51F9C" w:rsidRPr="00A51F9C">
        <w:t>.</w:t>
      </w:r>
      <w:r w:rsidR="007630BE">
        <w:t xml:space="preserve"> Класс</w:t>
      </w:r>
      <w:r w:rsidR="00AE3139">
        <w:t xml:space="preserve"> имеет 4 типа моделей усилителя</w:t>
      </w:r>
      <w:r w:rsidR="008164A3">
        <w:t>, опреде</w:t>
      </w:r>
      <w:r>
        <w:t>ляемых их передаточными характеристиками.</w:t>
      </w:r>
      <w:r w:rsidR="007630BE">
        <w:t xml:space="preserve"> </w:t>
      </w:r>
    </w:p>
    <w:p w:rsidR="007630BE" w:rsidRDefault="007630BE" w:rsidP="00E80312">
      <w:r>
        <w:t>Кубический полином. Данная модель описывается выражением</w:t>
      </w:r>
    </w:p>
    <w:p w:rsidR="006B13D4" w:rsidRDefault="006B13D4" w:rsidP="00E80312"/>
    <w:p w:rsidR="00C86634" w:rsidRPr="007630BE" w:rsidRDefault="00956B0B" w:rsidP="007630BE">
      <w:pPr>
        <w:jc w:val="center"/>
        <w:rPr>
          <w:i/>
          <w:lang w:val="en-US"/>
        </w:rPr>
      </w:pPr>
      <m:oMathPara>
        <m:oMath>
          <m:eqArr>
            <m:eqArrPr>
              <m:maxDist m:val="1"/>
              <m:ctrlPr>
                <w:rPr>
                  <w:rFonts w:ascii="Cambria Math" w:eastAsiaTheme="minorEastAsia" w:hAnsi="Cambria Math"/>
                  <w:i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AM/AM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in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in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in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#</m:t>
              </m:r>
            </m:e>
          </m:eqArr>
        </m:oMath>
      </m:oMathPara>
    </w:p>
    <w:p w:rsidR="00A1515A" w:rsidRPr="00B0293B" w:rsidRDefault="00A1515A" w:rsidP="00E80312"/>
    <w:p w:rsidR="00C21170" w:rsidRDefault="007630BE" w:rsidP="0060244A">
      <w:pPr>
        <w:rPr>
          <w:rFonts w:eastAsiaTheme="minorEastAsia"/>
        </w:rPr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AM/AM</m:t>
            </m:r>
          </m:sub>
        </m:sSub>
      </m:oMath>
      <w:r w:rsidRPr="006728BA">
        <w:rPr>
          <w:rFonts w:eastAsiaTheme="minorEastAsia"/>
        </w:rPr>
        <w:t xml:space="preserve"> –</w:t>
      </w:r>
      <w:r>
        <w:rPr>
          <w:rFonts w:eastAsiaTheme="minorEastAsia"/>
        </w:rPr>
        <w:t xml:space="preserve"> амплитуда выходного сигнала,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in</m:t>
            </m:r>
          </m:sub>
        </m:sSub>
      </m:oMath>
      <w:r>
        <w:rPr>
          <w:rFonts w:eastAsiaTheme="minorEastAsia"/>
        </w:rPr>
        <w:t xml:space="preserve"> – входной сигнал,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– коэффициенты</w:t>
      </w:r>
      <w:r w:rsidR="00026369">
        <w:rPr>
          <w:rFonts w:eastAsiaTheme="minorEastAsia"/>
        </w:rPr>
        <w:t xml:space="preserve"> [3</w:t>
      </w:r>
      <w:r w:rsidR="00C30C9F" w:rsidRPr="0001325A">
        <w:rPr>
          <w:rFonts w:eastAsiaTheme="minorEastAsia"/>
        </w:rPr>
        <w:t>]</w:t>
      </w:r>
      <w:r w:rsidR="00A60F2E">
        <w:rPr>
          <w:rFonts w:eastAsiaTheme="minorEastAsia"/>
        </w:rPr>
        <w:t>.</w:t>
      </w:r>
    </w:p>
    <w:p w:rsidR="00742865" w:rsidRPr="00FD18C4" w:rsidRDefault="0001325A" w:rsidP="00EC5522">
      <w:pPr>
        <w:rPr>
          <w:i/>
          <w:iCs/>
          <w:sz w:val="18"/>
          <w:szCs w:val="18"/>
        </w:rPr>
      </w:pPr>
      <w:r>
        <w:rPr>
          <w:rFonts w:eastAsiaTheme="minorEastAsia"/>
        </w:rPr>
        <w:t>На рисунке 1 представлен спектр сигнала до и после усилителя</w:t>
      </w:r>
      <w:r w:rsidR="006728BA">
        <w:rPr>
          <w:rFonts w:eastAsiaTheme="minorEastAsia"/>
        </w:rPr>
        <w:t>. Параметры мо</w:t>
      </w:r>
      <w:r w:rsidR="008700E8">
        <w:rPr>
          <w:rFonts w:eastAsiaTheme="minorEastAsia"/>
        </w:rPr>
        <w:t>дел</w:t>
      </w:r>
      <w:r w:rsidR="006728BA">
        <w:rPr>
          <w:rFonts w:eastAsiaTheme="minorEastAsia"/>
        </w:rPr>
        <w:t>и</w:t>
      </w:r>
      <w:r w:rsidR="008700E8">
        <w:rPr>
          <w:rFonts w:eastAsiaTheme="minorEastAsia"/>
        </w:rPr>
        <w:t xml:space="preserve"> усилителя: </w:t>
      </w:r>
      <w:r w:rsidR="006728BA">
        <w:rPr>
          <w:rFonts w:eastAsiaTheme="minorEastAsia"/>
        </w:rPr>
        <w:t>к</w:t>
      </w:r>
      <w:r w:rsidR="008700E8">
        <w:rPr>
          <w:rFonts w:eastAsiaTheme="minorEastAsia"/>
        </w:rPr>
        <w:t xml:space="preserve">оэффициент усиления </w:t>
      </w:r>
      <w:r w:rsidR="008700E8">
        <w:rPr>
          <w:rFonts w:eastAsiaTheme="minorEastAsia"/>
          <w:lang w:val="en-US"/>
        </w:rPr>
        <w:t>G</w:t>
      </w:r>
      <w:r w:rsidR="008700E8" w:rsidRPr="008700E8">
        <w:rPr>
          <w:rFonts w:eastAsiaTheme="minorEastAsia"/>
        </w:rPr>
        <w:t xml:space="preserve"> = </w:t>
      </w:r>
      <w:r w:rsidR="008700E8">
        <w:rPr>
          <w:rFonts w:eastAsiaTheme="minorEastAsia"/>
        </w:rPr>
        <w:t xml:space="preserve">10 дБ, точка насыщения по входу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in</m:t>
            </m:r>
            <m:r>
              <w:rPr>
                <w:rFonts w:ascii="Cambria Math" w:eastAsiaTheme="minorEastAsia" w:hAnsi="Cambria Math"/>
              </w:rPr>
              <m:t>_</m:t>
            </m:r>
            <m:r>
              <w:rPr>
                <w:rFonts w:ascii="Cambria Math" w:eastAsiaTheme="minorEastAsia" w:hAnsi="Cambria Math"/>
                <w:lang w:val="en-US"/>
              </w:rPr>
              <m:t>sat</m:t>
            </m:r>
          </m:sub>
        </m:sSub>
      </m:oMath>
      <w:r w:rsidR="008700E8" w:rsidRPr="008700E8">
        <w:rPr>
          <w:rFonts w:eastAsiaTheme="minorEastAsia"/>
        </w:rPr>
        <w:t xml:space="preserve"> = 20 </w:t>
      </w:r>
      <w:proofErr w:type="spellStart"/>
      <w:r w:rsidR="008700E8">
        <w:rPr>
          <w:rFonts w:eastAsiaTheme="minorEastAsia"/>
        </w:rPr>
        <w:t>дБм</w:t>
      </w:r>
      <w:proofErr w:type="spellEnd"/>
      <w:r w:rsidR="0042783F">
        <w:rPr>
          <w:rFonts w:eastAsiaTheme="minorEastAsia"/>
        </w:rPr>
        <w:t xml:space="preserve">, </w:t>
      </w:r>
      <w:r w:rsidR="0031064F">
        <w:rPr>
          <w:rFonts w:eastAsiaTheme="minorEastAsia"/>
        </w:rPr>
        <w:t xml:space="preserve">мощность сигнала на входе </w:t>
      </w:r>
      <w:r w:rsidR="00C071C8">
        <w:rPr>
          <w:rFonts w:eastAsiaTheme="minorEastAsia"/>
        </w:rPr>
        <w:t xml:space="preserve">усилителя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s</m:t>
            </m:r>
            <m:r>
              <w:rPr>
                <w:rFonts w:ascii="Cambria Math" w:eastAsiaTheme="minorEastAsia" w:hAnsi="Cambria Math"/>
              </w:rPr>
              <m:t>_</m:t>
            </m:r>
            <m:r>
              <w:rPr>
                <w:rFonts w:ascii="Cambria Math" w:eastAsiaTheme="minorEastAsia" w:hAnsi="Cambria Math"/>
                <w:lang w:val="en-US"/>
              </w:rPr>
              <m:t>in</m:t>
            </m:r>
          </m:sub>
        </m:sSub>
      </m:oMath>
      <w:r w:rsidR="00C071C8">
        <w:rPr>
          <w:rFonts w:eastAsiaTheme="minorEastAsia"/>
        </w:rPr>
        <w:t xml:space="preserve"> </w:t>
      </w:r>
      <w:r w:rsidR="00C071C8" w:rsidRPr="00CE6540">
        <w:rPr>
          <w:rFonts w:eastAsiaTheme="minorEastAsia"/>
        </w:rPr>
        <w:t>=</w:t>
      </w:r>
      <w:r w:rsidR="008C55CB">
        <w:rPr>
          <w:rFonts w:eastAsiaTheme="minorEastAsia"/>
        </w:rPr>
        <w:t xml:space="preserve"> 9,</w:t>
      </w:r>
      <w:r w:rsidR="00C071C8" w:rsidRPr="00F70660">
        <w:rPr>
          <w:rFonts w:eastAsiaTheme="minorEastAsia"/>
        </w:rPr>
        <w:t>34</w:t>
      </w:r>
      <w:r w:rsidR="00C071C8" w:rsidRPr="00F924F8">
        <w:rPr>
          <w:rFonts w:eastAsiaTheme="minorEastAsia"/>
        </w:rPr>
        <w:t xml:space="preserve"> </w:t>
      </w:r>
      <w:proofErr w:type="spellStart"/>
      <w:r w:rsidR="00C071C8">
        <w:rPr>
          <w:rFonts w:eastAsiaTheme="minorEastAsia"/>
        </w:rPr>
        <w:t>дБм</w:t>
      </w:r>
      <w:proofErr w:type="spellEnd"/>
      <w:r w:rsidR="00C071C8">
        <w:rPr>
          <w:rFonts w:eastAsiaTheme="minorEastAsia"/>
        </w:rPr>
        <w:t>.</w:t>
      </w:r>
      <w:r w:rsidR="00647F6E" w:rsidRPr="00FD18C4">
        <w:rPr>
          <w:i/>
          <w:iCs/>
          <w:sz w:val="18"/>
          <w:szCs w:val="18"/>
        </w:rPr>
        <w:t xml:space="preserve"> </w:t>
      </w:r>
      <w:r w:rsidR="00EC5522">
        <w:rPr>
          <w:rFonts w:eastAsiaTheme="minorEastAsia"/>
          <w:szCs w:val="20"/>
        </w:rPr>
        <w:t>отличии от</w:t>
      </w:r>
    </w:p>
    <w:p w:rsidR="008E1899" w:rsidRPr="006A47BC" w:rsidRDefault="008E1899" w:rsidP="008E1899">
      <w:pPr>
        <w:rPr>
          <w:szCs w:val="20"/>
        </w:rPr>
      </w:pPr>
      <w:r w:rsidRPr="006A47BC">
        <w:rPr>
          <w:szCs w:val="20"/>
        </w:rPr>
        <w:t>Мощность выходного сигнала усилителя</w:t>
      </w:r>
      <w:r w:rsidR="007E001D">
        <w:rPr>
          <w:szCs w:val="20"/>
        </w:rPr>
        <w:t xml:space="preserve"> была</w:t>
      </w:r>
      <w:r w:rsidRPr="006A47BC">
        <w:rPr>
          <w:szCs w:val="20"/>
        </w:rPr>
        <w:t xml:space="preserve"> нормализована к мощности входного сигнала</w:t>
      </w:r>
      <w:r w:rsidR="00080687" w:rsidRPr="006A47BC">
        <w:rPr>
          <w:szCs w:val="20"/>
        </w:rPr>
        <w:t xml:space="preserve"> для удобства сравнения</w:t>
      </w:r>
      <w:r w:rsidRPr="006A47BC">
        <w:rPr>
          <w:szCs w:val="20"/>
        </w:rPr>
        <w:t>.</w:t>
      </w:r>
      <w:r w:rsidR="006453CB" w:rsidRPr="006A47BC">
        <w:rPr>
          <w:szCs w:val="20"/>
        </w:rPr>
        <w:t xml:space="preserve"> Мощность на входе усилителя (</w:t>
      </w:r>
      <w:proofErr w:type="spellStart"/>
      <w:r w:rsidR="006453CB" w:rsidRPr="006A47BC">
        <w:rPr>
          <w:szCs w:val="20"/>
        </w:rPr>
        <w:t>дБм</w:t>
      </w:r>
      <w:proofErr w:type="spellEnd"/>
      <w:r w:rsidR="006453CB" w:rsidRPr="006A47BC">
        <w:rPr>
          <w:szCs w:val="20"/>
        </w:rPr>
        <w:t>) в</w:t>
      </w:r>
      <w:r w:rsidR="007E001D">
        <w:rPr>
          <w:szCs w:val="20"/>
        </w:rPr>
        <w:t>ычислялась по формуле</w:t>
      </w:r>
    </w:p>
    <w:p w:rsidR="0029425A" w:rsidRPr="006A47BC" w:rsidRDefault="0029425A" w:rsidP="008E1899">
      <w:pPr>
        <w:rPr>
          <w:szCs w:val="20"/>
        </w:rPr>
      </w:pPr>
    </w:p>
    <w:p w:rsidR="00936D69" w:rsidRPr="006A47BC" w:rsidRDefault="00956B0B" w:rsidP="00936D69">
      <w:pPr>
        <w:jc w:val="center"/>
        <w:rPr>
          <w:rFonts w:eastAsiaTheme="minorEastAsia"/>
          <w:szCs w:val="20"/>
        </w:rPr>
      </w:pPr>
      <m:oMathPara>
        <m:oMath>
          <m:eqArr>
            <m:eqArrPr>
              <m:maxDist m:val="1"/>
              <m:ctrlPr>
                <w:rPr>
                  <w:rFonts w:ascii="Cambria Math" w:eastAsiaTheme="minorEastAsia" w:hAnsi="Cambria Math"/>
                  <w:i/>
                  <w:szCs w:val="20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P</m:t>
                  </m:r>
                  <m:ctrlPr>
                    <w:rPr>
                      <w:rFonts w:ascii="Cambria Math" w:eastAsiaTheme="minorEastAsia" w:hAnsi="Cambria Math"/>
                      <w:i/>
                      <w:szCs w:val="20"/>
                    </w:rPr>
                  </m:ctrlPr>
                </m:e>
                <m:sub>
                  <m:r>
                    <w:rPr>
                      <w:rFonts w:ascii="Cambria Math" w:hAnsi="Cambria Math"/>
                      <w:szCs w:val="20"/>
                    </w:rPr>
                    <m:t>s_in</m:t>
                  </m:r>
                </m:sub>
              </m:sSub>
              <m:r>
                <w:rPr>
                  <w:rFonts w:ascii="Cambria Math" w:hAnsi="Cambria Math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0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  <w:szCs w:val="20"/>
                    </w:rPr>
                    <m:t>in_sat</m:t>
                  </m:r>
                </m:sub>
              </m:sSub>
              <m:r>
                <w:rPr>
                  <w:rFonts w:ascii="Cambria Math" w:eastAsiaTheme="minorEastAsia" w:hAnsi="Cambria Math"/>
                  <w:szCs w:val="20"/>
                </w:rPr>
                <m:t xml:space="preserve">- PAPR </m:t>
              </m:r>
              <m:r>
                <w:rPr>
                  <w:rFonts w:ascii="Cambria Math" w:hAnsi="Cambria Math"/>
                  <w:szCs w:val="20"/>
                </w:rPr>
                <m:t>#(</m:t>
              </m:r>
              <m:r>
                <w:rPr>
                  <w:rFonts w:ascii="Cambria Math" w:eastAsiaTheme="minorEastAsia" w:hAnsi="Cambria Math"/>
                  <w:szCs w:val="20"/>
                </w:rPr>
                <m:t>2)</m:t>
              </m:r>
            </m:e>
          </m:eqArr>
        </m:oMath>
      </m:oMathPara>
    </w:p>
    <w:p w:rsidR="0029425A" w:rsidRPr="006A47BC" w:rsidRDefault="0029425A" w:rsidP="00936D69">
      <w:pPr>
        <w:jc w:val="center"/>
        <w:rPr>
          <w:rFonts w:eastAsiaTheme="minorEastAsia"/>
          <w:szCs w:val="20"/>
        </w:rPr>
      </w:pPr>
    </w:p>
    <w:p w:rsidR="001A3A6A" w:rsidRPr="006A47BC" w:rsidRDefault="0011589F" w:rsidP="001A3A6A">
      <w:pPr>
        <w:rPr>
          <w:szCs w:val="20"/>
        </w:rPr>
      </w:pPr>
      <w:r w:rsidRPr="006A47BC">
        <w:rPr>
          <w:szCs w:val="20"/>
        </w:rPr>
        <w:t xml:space="preserve">где </w:t>
      </w:r>
      <m:oMath>
        <m:r>
          <w:rPr>
            <w:rFonts w:ascii="Cambria Math" w:hAnsi="Cambria Math"/>
            <w:szCs w:val="20"/>
            <w:lang w:val="en-US"/>
          </w:rPr>
          <m:t>PAPR</m:t>
        </m:r>
      </m:oMath>
      <w:r w:rsidR="002D6391" w:rsidRPr="006A47BC">
        <w:rPr>
          <w:szCs w:val="20"/>
        </w:rPr>
        <w:t xml:space="preserve"> – отношение </w:t>
      </w:r>
      <w:r w:rsidR="00F65D86">
        <w:rPr>
          <w:szCs w:val="20"/>
        </w:rPr>
        <w:t>пиковой мощности к средней в дБ, которое для</w:t>
      </w:r>
    </w:p>
    <w:p w:rsidR="001A3A6A" w:rsidRPr="006A47BC" w:rsidRDefault="001A3A6A" w:rsidP="001A3A6A">
      <w:pPr>
        <w:rPr>
          <w:szCs w:val="20"/>
        </w:rPr>
      </w:pPr>
      <w:r w:rsidRPr="006A47BC">
        <w:rPr>
          <w:szCs w:val="20"/>
        </w:rPr>
        <w:t xml:space="preserve">входного </w:t>
      </w:r>
      <w:r w:rsidRPr="006A47BC">
        <w:rPr>
          <w:szCs w:val="20"/>
          <w:lang w:val="en-US"/>
        </w:rPr>
        <w:t>OFDM</w:t>
      </w:r>
      <w:r w:rsidRPr="006A47BC">
        <w:rPr>
          <w:szCs w:val="20"/>
        </w:rPr>
        <w:t xml:space="preserve"> сигнала </w:t>
      </w:r>
      <w:r w:rsidR="006728BA">
        <w:rPr>
          <w:szCs w:val="20"/>
        </w:rPr>
        <w:t xml:space="preserve"> составил</w:t>
      </w:r>
      <w:r w:rsidR="00F65D86">
        <w:rPr>
          <w:szCs w:val="20"/>
        </w:rPr>
        <w:t>о</w:t>
      </w:r>
      <w:r w:rsidR="00EB6796">
        <w:rPr>
          <w:szCs w:val="20"/>
        </w:rPr>
        <w:t xml:space="preserve"> 10,</w:t>
      </w:r>
      <w:r w:rsidRPr="006A47BC">
        <w:rPr>
          <w:szCs w:val="20"/>
        </w:rPr>
        <w:t>65 дБ.</w:t>
      </w:r>
    </w:p>
    <w:p w:rsidR="003D1F4E" w:rsidRDefault="003329BF" w:rsidP="003329BF">
      <w:pPr>
        <w:rPr>
          <w:szCs w:val="20"/>
        </w:rPr>
      </w:pPr>
      <w:r w:rsidRPr="006A47BC">
        <w:rPr>
          <w:szCs w:val="20"/>
        </w:rPr>
        <w:t>При такой мощности сигнала наблюдаются искажения</w:t>
      </w:r>
      <w:r w:rsidR="00DA1CDA" w:rsidRPr="006A47BC">
        <w:rPr>
          <w:szCs w:val="20"/>
        </w:rPr>
        <w:t>,</w:t>
      </w:r>
      <w:r w:rsidR="006728BA">
        <w:rPr>
          <w:szCs w:val="20"/>
        </w:rPr>
        <w:t xml:space="preserve"> приводящие к </w:t>
      </w:r>
      <w:r w:rsidRPr="006A47BC">
        <w:rPr>
          <w:szCs w:val="20"/>
        </w:rPr>
        <w:t>р</w:t>
      </w:r>
      <w:r w:rsidR="006728BA">
        <w:rPr>
          <w:szCs w:val="20"/>
        </w:rPr>
        <w:t xml:space="preserve">осту уровней </w:t>
      </w:r>
      <w:r w:rsidRPr="006A47BC">
        <w:rPr>
          <w:szCs w:val="20"/>
        </w:rPr>
        <w:t>боковы</w:t>
      </w:r>
      <w:r w:rsidR="009A4C81" w:rsidRPr="006A47BC">
        <w:rPr>
          <w:szCs w:val="20"/>
        </w:rPr>
        <w:t>х</w:t>
      </w:r>
      <w:r w:rsidRPr="006A47BC">
        <w:rPr>
          <w:szCs w:val="20"/>
        </w:rPr>
        <w:t xml:space="preserve"> лепестков спектра сигнала</w:t>
      </w:r>
      <w:r w:rsidR="00BC1C0B">
        <w:rPr>
          <w:szCs w:val="20"/>
        </w:rPr>
        <w:t xml:space="preserve"> в полосе от -150 МГц до -50 МГ</w:t>
      </w:r>
      <w:r w:rsidR="00400B40" w:rsidRPr="006A47BC">
        <w:rPr>
          <w:szCs w:val="20"/>
        </w:rPr>
        <w:t>ц и полосе от 50 МГц до 150 МГц</w:t>
      </w:r>
      <w:r w:rsidRPr="006A47BC">
        <w:rPr>
          <w:szCs w:val="20"/>
        </w:rPr>
        <w:t>.</w:t>
      </w:r>
      <w:r w:rsidR="003F5E35" w:rsidRPr="006A47BC">
        <w:rPr>
          <w:szCs w:val="20"/>
        </w:rPr>
        <w:t xml:space="preserve"> За пределами двух указанных полос </w:t>
      </w:r>
    </w:p>
    <w:p w:rsidR="003D1F4E" w:rsidRDefault="003D1F4E" w:rsidP="00071E67">
      <w:pPr>
        <w:ind w:firstLine="0"/>
        <w:rPr>
          <w:szCs w:val="20"/>
        </w:rPr>
      </w:pPr>
    </w:p>
    <w:p w:rsidR="007E1108" w:rsidRDefault="00A77F00" w:rsidP="007E1108">
      <w:pPr>
        <w:jc w:val="center"/>
        <w:rPr>
          <w:i/>
          <w:iCs/>
          <w:sz w:val="18"/>
          <w:szCs w:val="18"/>
        </w:rPr>
      </w:pPr>
      <w:r w:rsidRPr="00B26503">
        <w:rPr>
          <w:rFonts w:eastAsiaTheme="minorEastAsia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12795" cy="1834515"/>
            <wp:effectExtent l="0" t="0" r="190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0" t="4462" r="6664"/>
                    <a:stretch/>
                  </pic:blipFill>
                  <pic:spPr bwMode="auto">
                    <a:xfrm>
                      <a:off x="0" y="0"/>
                      <a:ext cx="331279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E1108" w:rsidRPr="00944B37">
        <w:rPr>
          <w:i/>
          <w:iCs/>
          <w:sz w:val="18"/>
          <w:szCs w:val="18"/>
        </w:rPr>
        <w:t>Рисунок 1</w:t>
      </w:r>
      <w:r w:rsidR="007E1108">
        <w:rPr>
          <w:i/>
          <w:iCs/>
          <w:sz w:val="18"/>
          <w:szCs w:val="18"/>
        </w:rPr>
        <w:t xml:space="preserve"> – Спектр сигнала до и после усилителя</w:t>
      </w:r>
    </w:p>
    <w:p w:rsidR="007E1108" w:rsidRDefault="007E1108" w:rsidP="003D1F4E">
      <w:pPr>
        <w:ind w:firstLine="0"/>
        <w:rPr>
          <w:szCs w:val="20"/>
        </w:rPr>
      </w:pPr>
    </w:p>
    <w:p w:rsidR="00B375BE" w:rsidRPr="006A47BC" w:rsidRDefault="003F5E35" w:rsidP="003D1F4E">
      <w:pPr>
        <w:ind w:firstLine="0"/>
        <w:rPr>
          <w:szCs w:val="20"/>
        </w:rPr>
      </w:pPr>
      <w:r w:rsidRPr="006A47BC">
        <w:rPr>
          <w:szCs w:val="20"/>
        </w:rPr>
        <w:t>увеличения мощности не наблюдается.</w:t>
      </w:r>
    </w:p>
    <w:p w:rsidR="005F622B" w:rsidRPr="00FC2D96" w:rsidRDefault="00B375BE" w:rsidP="00FC2D96">
      <w:pPr>
        <w:rPr>
          <w:rFonts w:eastAsiaTheme="minorEastAsia"/>
          <w:szCs w:val="20"/>
        </w:rPr>
      </w:pPr>
      <w:r w:rsidRPr="006A47BC">
        <w:rPr>
          <w:szCs w:val="20"/>
        </w:rPr>
        <w:t xml:space="preserve">В стандартах </w:t>
      </w:r>
      <w:r w:rsidR="007E001D">
        <w:rPr>
          <w:szCs w:val="20"/>
        </w:rPr>
        <w:t xml:space="preserve">систем связи </w:t>
      </w:r>
      <w:r w:rsidRPr="006A47BC">
        <w:rPr>
          <w:szCs w:val="20"/>
        </w:rPr>
        <w:t xml:space="preserve">для </w:t>
      </w:r>
      <w:r w:rsidR="007E001D">
        <w:rPr>
          <w:szCs w:val="20"/>
        </w:rPr>
        <w:t>оценки</w:t>
      </w:r>
      <w:r w:rsidRPr="006A47BC">
        <w:rPr>
          <w:szCs w:val="20"/>
        </w:rPr>
        <w:t xml:space="preserve"> ур</w:t>
      </w:r>
      <w:r w:rsidR="007E001D">
        <w:rPr>
          <w:szCs w:val="20"/>
        </w:rPr>
        <w:t>овня боковых лепестков используется</w:t>
      </w:r>
      <w:r w:rsidRPr="006A47BC">
        <w:rPr>
          <w:szCs w:val="20"/>
        </w:rPr>
        <w:t xml:space="preserve"> </w:t>
      </w:r>
      <w:r w:rsidR="007E001D">
        <w:rPr>
          <w:szCs w:val="20"/>
        </w:rPr>
        <w:t xml:space="preserve"> параметр </w:t>
      </w:r>
      <w:r w:rsidRPr="006A47BC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  <w:lang w:val="en-US"/>
          </w:rPr>
          <m:t>ACLR</m:t>
        </m:r>
      </m:oMath>
      <w:r w:rsidRPr="006A47BC">
        <w:rPr>
          <w:rFonts w:eastAsiaTheme="minorEastAsia"/>
          <w:szCs w:val="20"/>
        </w:rPr>
        <w:t xml:space="preserve"> – </w:t>
      </w:r>
      <w:r w:rsidR="00AD4925" w:rsidRPr="006A47BC">
        <w:rPr>
          <w:rFonts w:eastAsiaTheme="minorEastAsia"/>
          <w:szCs w:val="20"/>
          <w:lang w:val="en-US"/>
        </w:rPr>
        <w:t>Adjacent</w:t>
      </w:r>
      <w:r w:rsidR="00AD4925" w:rsidRPr="006A47BC">
        <w:rPr>
          <w:rFonts w:eastAsiaTheme="minorEastAsia"/>
          <w:szCs w:val="20"/>
        </w:rPr>
        <w:t xml:space="preserve"> </w:t>
      </w:r>
      <w:r w:rsidR="00AD4925" w:rsidRPr="006A47BC">
        <w:rPr>
          <w:rFonts w:eastAsiaTheme="minorEastAsia"/>
          <w:szCs w:val="20"/>
          <w:lang w:val="en-US"/>
        </w:rPr>
        <w:t>Channel</w:t>
      </w:r>
      <w:r w:rsidR="00AD4925" w:rsidRPr="006A47BC">
        <w:rPr>
          <w:rFonts w:eastAsiaTheme="minorEastAsia"/>
          <w:szCs w:val="20"/>
        </w:rPr>
        <w:t xml:space="preserve"> </w:t>
      </w:r>
      <w:r w:rsidR="00AD4925" w:rsidRPr="006A47BC">
        <w:rPr>
          <w:rFonts w:eastAsiaTheme="minorEastAsia"/>
          <w:szCs w:val="20"/>
          <w:lang w:val="en-US"/>
        </w:rPr>
        <w:t>Leakage</w:t>
      </w:r>
      <w:r w:rsidR="00AD4925" w:rsidRPr="006A47BC">
        <w:rPr>
          <w:rFonts w:eastAsiaTheme="minorEastAsia"/>
          <w:szCs w:val="20"/>
        </w:rPr>
        <w:t xml:space="preserve"> </w:t>
      </w:r>
      <w:r w:rsidR="00AD4925" w:rsidRPr="006A47BC">
        <w:rPr>
          <w:rFonts w:eastAsiaTheme="minorEastAsia"/>
          <w:szCs w:val="20"/>
          <w:lang w:val="en-US"/>
        </w:rPr>
        <w:t>Ratio</w:t>
      </w:r>
      <w:r w:rsidR="00C47374" w:rsidRPr="006A47BC">
        <w:rPr>
          <w:rFonts w:eastAsiaTheme="minorEastAsia"/>
          <w:szCs w:val="20"/>
        </w:rPr>
        <w:t xml:space="preserve">, который вычисляется как отношение мощности сигнала в основной </w:t>
      </w:r>
      <w:r w:rsidR="009A1A71" w:rsidRPr="006A47BC">
        <w:rPr>
          <w:rFonts w:eastAsiaTheme="minorEastAsia"/>
          <w:szCs w:val="20"/>
        </w:rPr>
        <w:t xml:space="preserve">полосе (для тестового сигнала от </w:t>
      </w:r>
      <w:r w:rsidR="008D4315" w:rsidRPr="006A47BC">
        <w:rPr>
          <w:rFonts w:eastAsiaTheme="minorEastAsia"/>
          <w:szCs w:val="20"/>
        </w:rPr>
        <w:t>-</w:t>
      </w:r>
      <w:r w:rsidR="009A1A71" w:rsidRPr="006A47BC">
        <w:rPr>
          <w:rFonts w:eastAsiaTheme="minorEastAsia"/>
          <w:szCs w:val="20"/>
        </w:rPr>
        <w:t>50 МГц до 50 МГц)</w:t>
      </w:r>
      <w:r w:rsidR="008F0B28" w:rsidRPr="006A47BC">
        <w:rPr>
          <w:rFonts w:eastAsiaTheme="minorEastAsia"/>
          <w:szCs w:val="20"/>
        </w:rPr>
        <w:t xml:space="preserve"> к мощности сигнала в соседней полос</w:t>
      </w:r>
      <w:r w:rsidR="00BA2019">
        <w:rPr>
          <w:rFonts w:eastAsiaTheme="minorEastAsia"/>
          <w:szCs w:val="20"/>
        </w:rPr>
        <w:t>е</w:t>
      </w:r>
      <w:r w:rsidR="008F0B28" w:rsidRPr="006A47BC">
        <w:rPr>
          <w:rFonts w:eastAsiaTheme="minorEastAsia"/>
          <w:szCs w:val="20"/>
        </w:rPr>
        <w:t xml:space="preserve"> (для тестового сигнала есть две полосы от -150 МГц до -50 МГц и от 50 МГц до 150 МГц)</w:t>
      </w:r>
      <w:proofErr w:type="gramStart"/>
      <w:r w:rsidR="004A7961" w:rsidRPr="006A47BC">
        <w:rPr>
          <w:rFonts w:eastAsiaTheme="minorEastAsia"/>
          <w:szCs w:val="20"/>
        </w:rPr>
        <w:t>.</w:t>
      </w:r>
      <w:proofErr w:type="gramEnd"/>
      <w:r w:rsidR="001A6981">
        <w:rPr>
          <w:rFonts w:eastAsiaTheme="minorEastAsia"/>
          <w:szCs w:val="20"/>
        </w:rPr>
        <w:t xml:space="preserve"> </w:t>
      </w:r>
      <m:oMath>
        <m:r>
          <w:rPr>
            <w:rFonts w:ascii="Cambria Math" w:eastAsiaTheme="minorEastAsia" w:hAnsi="Cambria Math"/>
            <w:szCs w:val="20"/>
            <w:lang w:val="en-US"/>
          </w:rPr>
          <m:t>A</m:t>
        </m:r>
        <m:r>
          <w:rPr>
            <w:rFonts w:ascii="Cambria Math" w:eastAsiaTheme="minorEastAsia" w:hAnsi="Cambria Math"/>
            <w:szCs w:val="20"/>
            <w:lang w:val="en-US"/>
          </w:rPr>
          <m:t>CLR</m:t>
        </m:r>
      </m:oMath>
      <w:r w:rsidR="00294BF3" w:rsidRPr="006A47BC">
        <w:rPr>
          <w:rFonts w:eastAsiaTheme="minorEastAsia"/>
          <w:szCs w:val="20"/>
        </w:rPr>
        <w:t xml:space="preserve"> </w:t>
      </w:r>
      <w:r w:rsidR="001A6981">
        <w:rPr>
          <w:rFonts w:eastAsiaTheme="minorEastAsia"/>
          <w:szCs w:val="20"/>
        </w:rPr>
        <w:t xml:space="preserve"> </w:t>
      </w:r>
      <w:proofErr w:type="gramStart"/>
      <w:r w:rsidR="001A6981">
        <w:rPr>
          <w:rFonts w:eastAsiaTheme="minorEastAsia"/>
          <w:szCs w:val="20"/>
        </w:rPr>
        <w:t>д</w:t>
      </w:r>
      <w:proofErr w:type="gramEnd"/>
      <w:r w:rsidR="001A6981">
        <w:rPr>
          <w:rFonts w:eastAsiaTheme="minorEastAsia"/>
          <w:szCs w:val="20"/>
        </w:rPr>
        <w:t xml:space="preserve">ля </w:t>
      </w:r>
      <w:r w:rsidR="00294BF3" w:rsidRPr="006A47BC">
        <w:rPr>
          <w:rFonts w:eastAsiaTheme="minorEastAsia"/>
          <w:szCs w:val="20"/>
        </w:rPr>
        <w:t>входн</w:t>
      </w:r>
      <w:r w:rsidR="001A6981">
        <w:rPr>
          <w:rFonts w:eastAsiaTheme="minorEastAsia"/>
          <w:szCs w:val="20"/>
        </w:rPr>
        <w:t>ого сигнала усилителя составило</w:t>
      </w:r>
      <w:r w:rsidR="009C387F">
        <w:rPr>
          <w:rFonts w:eastAsiaTheme="minorEastAsia"/>
          <w:szCs w:val="20"/>
        </w:rPr>
        <w:t xml:space="preserve"> 55</w:t>
      </w:r>
      <w:r w:rsidR="00294BF3" w:rsidRPr="006A47BC">
        <w:rPr>
          <w:rFonts w:eastAsiaTheme="minorEastAsia"/>
          <w:szCs w:val="20"/>
        </w:rPr>
        <w:t xml:space="preserve"> дБ</w:t>
      </w:r>
      <w:r w:rsidR="00F67DF7" w:rsidRPr="006A47BC">
        <w:rPr>
          <w:rFonts w:eastAsiaTheme="minorEastAsia"/>
          <w:szCs w:val="20"/>
        </w:rPr>
        <w:t xml:space="preserve">, а </w:t>
      </w:r>
      <w:r w:rsidR="001A6981">
        <w:rPr>
          <w:rFonts w:eastAsiaTheme="minorEastAsia"/>
          <w:szCs w:val="20"/>
        </w:rPr>
        <w:t xml:space="preserve">для </w:t>
      </w:r>
      <w:r w:rsidR="00294BF3" w:rsidRPr="006A47BC">
        <w:rPr>
          <w:rFonts w:eastAsiaTheme="minorEastAsia"/>
          <w:szCs w:val="20"/>
        </w:rPr>
        <w:t xml:space="preserve"> </w:t>
      </w:r>
      <w:r w:rsidR="00F67DF7" w:rsidRPr="006A47BC">
        <w:rPr>
          <w:rFonts w:eastAsiaTheme="minorEastAsia"/>
          <w:szCs w:val="20"/>
        </w:rPr>
        <w:t>выходно</w:t>
      </w:r>
      <w:r w:rsidR="001A6981">
        <w:rPr>
          <w:rFonts w:eastAsiaTheme="minorEastAsia"/>
          <w:szCs w:val="20"/>
        </w:rPr>
        <w:t>го сигнала  -</w:t>
      </w:r>
      <w:r w:rsidR="007E001D">
        <w:rPr>
          <w:rFonts w:eastAsiaTheme="minorEastAsia"/>
          <w:szCs w:val="20"/>
        </w:rPr>
        <w:t xml:space="preserve"> плюс</w:t>
      </w:r>
      <w:r w:rsidR="001A6981">
        <w:rPr>
          <w:rFonts w:eastAsiaTheme="minorEastAsia"/>
          <w:szCs w:val="20"/>
        </w:rPr>
        <w:t xml:space="preserve"> </w:t>
      </w:r>
      <w:r w:rsidR="009C387F">
        <w:rPr>
          <w:rFonts w:eastAsiaTheme="minorEastAsia"/>
          <w:szCs w:val="20"/>
        </w:rPr>
        <w:t>37</w:t>
      </w:r>
      <w:r w:rsidR="00F67DF7" w:rsidRPr="006A47BC">
        <w:rPr>
          <w:rFonts w:eastAsiaTheme="minorEastAsia"/>
          <w:szCs w:val="20"/>
        </w:rPr>
        <w:t xml:space="preserve"> дБ</w:t>
      </w:r>
      <w:r w:rsidR="001149B6" w:rsidRPr="006A47BC">
        <w:rPr>
          <w:rFonts w:eastAsiaTheme="minorEastAsia"/>
          <w:szCs w:val="20"/>
        </w:rPr>
        <w:t>, что на 18</w:t>
      </w:r>
      <w:r w:rsidR="009C387F">
        <w:rPr>
          <w:rFonts w:eastAsiaTheme="minorEastAsia"/>
          <w:szCs w:val="20"/>
        </w:rPr>
        <w:t xml:space="preserve"> </w:t>
      </w:r>
      <w:r w:rsidR="001149B6" w:rsidRPr="006A47BC">
        <w:rPr>
          <w:rFonts w:eastAsiaTheme="minorEastAsia"/>
          <w:szCs w:val="20"/>
        </w:rPr>
        <w:t xml:space="preserve">дБ меньше чем </w:t>
      </w:r>
      <w:proofErr w:type="gramStart"/>
      <w:r w:rsidR="001149B6" w:rsidRPr="006A47BC">
        <w:rPr>
          <w:rFonts w:eastAsiaTheme="minorEastAsia"/>
          <w:szCs w:val="20"/>
        </w:rPr>
        <w:t>у</w:t>
      </w:r>
      <w:proofErr w:type="gramEnd"/>
      <w:r w:rsidR="001149B6" w:rsidRPr="006A47BC">
        <w:rPr>
          <w:rFonts w:eastAsiaTheme="minorEastAsia"/>
          <w:szCs w:val="20"/>
        </w:rPr>
        <w:t xml:space="preserve"> входного.</w:t>
      </w:r>
      <w:r w:rsidR="00D31364" w:rsidRPr="006A47BC">
        <w:rPr>
          <w:rFonts w:eastAsiaTheme="minorEastAsia"/>
          <w:szCs w:val="20"/>
        </w:rPr>
        <w:t xml:space="preserve"> </w:t>
      </w:r>
    </w:p>
    <w:p w:rsidR="00236190" w:rsidRDefault="00544DEB" w:rsidP="002A4609">
      <w:pPr>
        <w:rPr>
          <w:szCs w:val="20"/>
        </w:rPr>
      </w:pPr>
      <w:r w:rsidRPr="005F622B">
        <w:rPr>
          <w:szCs w:val="20"/>
        </w:rPr>
        <w:t xml:space="preserve">Класс </w:t>
      </w:r>
      <w:r w:rsidRPr="005F622B">
        <w:rPr>
          <w:szCs w:val="20"/>
          <w:lang w:val="en-US"/>
        </w:rPr>
        <w:t>Amplifier</w:t>
      </w:r>
      <w:r w:rsidR="001A6981">
        <w:rPr>
          <w:szCs w:val="20"/>
        </w:rPr>
        <w:t xml:space="preserve"> включает</w:t>
      </w:r>
      <w:r w:rsidRPr="005F622B">
        <w:rPr>
          <w:szCs w:val="20"/>
        </w:rPr>
        <w:t xml:space="preserve"> ещё 3 типа моделей усилителя: модель </w:t>
      </w:r>
      <w:proofErr w:type="spellStart"/>
      <w:r w:rsidRPr="005F622B">
        <w:rPr>
          <w:szCs w:val="20"/>
        </w:rPr>
        <w:t>Салеха</w:t>
      </w:r>
      <w:proofErr w:type="spellEnd"/>
      <w:r w:rsidRPr="005F622B">
        <w:rPr>
          <w:szCs w:val="20"/>
        </w:rPr>
        <w:t xml:space="preserve">, </w:t>
      </w:r>
      <w:proofErr w:type="spellStart"/>
      <w:r w:rsidR="0021089E" w:rsidRPr="005F622B">
        <w:rPr>
          <w:szCs w:val="20"/>
        </w:rPr>
        <w:t>модицицированная</w:t>
      </w:r>
      <w:proofErr w:type="spellEnd"/>
      <w:r w:rsidR="0021089E" w:rsidRPr="005F622B">
        <w:rPr>
          <w:szCs w:val="20"/>
        </w:rPr>
        <w:t xml:space="preserve"> модель </w:t>
      </w:r>
      <w:proofErr w:type="spellStart"/>
      <w:r w:rsidR="0021089E" w:rsidRPr="005F622B">
        <w:rPr>
          <w:szCs w:val="20"/>
        </w:rPr>
        <w:t>Раппа</w:t>
      </w:r>
      <w:proofErr w:type="spellEnd"/>
      <w:r w:rsidR="0021089E" w:rsidRPr="005F622B">
        <w:rPr>
          <w:szCs w:val="20"/>
        </w:rPr>
        <w:t xml:space="preserve">, и табличную модель. </w:t>
      </w:r>
    </w:p>
    <w:p w:rsidR="00892627" w:rsidRPr="005F622B" w:rsidRDefault="009C387F" w:rsidP="00892627">
      <w:pPr>
        <w:rPr>
          <w:szCs w:val="20"/>
        </w:rPr>
      </w:pPr>
      <w:r>
        <w:rPr>
          <w:szCs w:val="20"/>
        </w:rPr>
        <w:t xml:space="preserve">Для </w:t>
      </w:r>
      <w:r w:rsidR="00892627" w:rsidRPr="005F622B">
        <w:rPr>
          <w:szCs w:val="20"/>
        </w:rPr>
        <w:t xml:space="preserve">моделирования усилителя, обладающего эффектом памяти, </w:t>
      </w:r>
      <w:r w:rsidR="00D13305" w:rsidRPr="005F622B">
        <w:rPr>
          <w:szCs w:val="20"/>
        </w:rPr>
        <w:t xml:space="preserve">используются </w:t>
      </w:r>
      <w:r w:rsidR="005D14AE" w:rsidRPr="005F622B">
        <w:rPr>
          <w:szCs w:val="20"/>
        </w:rPr>
        <w:t xml:space="preserve">модели на основе </w:t>
      </w:r>
      <w:r w:rsidR="00D13305" w:rsidRPr="005F622B">
        <w:rPr>
          <w:szCs w:val="20"/>
        </w:rPr>
        <w:t>ряд</w:t>
      </w:r>
      <w:r w:rsidR="005D14AE" w:rsidRPr="005F622B">
        <w:rPr>
          <w:szCs w:val="20"/>
        </w:rPr>
        <w:t>ов</w:t>
      </w:r>
      <w:r w:rsidR="00D13305" w:rsidRPr="005F622B">
        <w:rPr>
          <w:szCs w:val="20"/>
        </w:rPr>
        <w:t xml:space="preserve"> </w:t>
      </w:r>
      <w:proofErr w:type="spellStart"/>
      <w:r w:rsidR="00D13305" w:rsidRPr="005F622B">
        <w:rPr>
          <w:szCs w:val="20"/>
        </w:rPr>
        <w:t>Вол</w:t>
      </w:r>
      <w:r w:rsidR="001A6981">
        <w:rPr>
          <w:szCs w:val="20"/>
        </w:rPr>
        <w:t>ь</w:t>
      </w:r>
      <w:r w:rsidR="00D13305" w:rsidRPr="005F622B">
        <w:rPr>
          <w:szCs w:val="20"/>
        </w:rPr>
        <w:t>тер</w:t>
      </w:r>
      <w:r w:rsidR="001A6981">
        <w:rPr>
          <w:szCs w:val="20"/>
        </w:rPr>
        <w:t>р</w:t>
      </w:r>
      <w:r w:rsidR="00D13305" w:rsidRPr="005F622B">
        <w:rPr>
          <w:szCs w:val="20"/>
        </w:rPr>
        <w:t>а</w:t>
      </w:r>
      <w:proofErr w:type="spellEnd"/>
      <w:r w:rsidR="00D13305" w:rsidRPr="005F622B">
        <w:rPr>
          <w:szCs w:val="20"/>
        </w:rPr>
        <w:t xml:space="preserve"> [2]</w:t>
      </w:r>
      <w:r w:rsidR="00DD3748" w:rsidRPr="005F622B">
        <w:rPr>
          <w:szCs w:val="20"/>
        </w:rPr>
        <w:t>.</w:t>
      </w:r>
      <w:r w:rsidR="005D14AE" w:rsidRPr="005F622B">
        <w:rPr>
          <w:szCs w:val="20"/>
        </w:rPr>
        <w:t xml:space="preserve"> </w:t>
      </w:r>
      <w:r>
        <w:rPr>
          <w:szCs w:val="20"/>
        </w:rPr>
        <w:t>Для этого в</w:t>
      </w:r>
      <w:r w:rsidR="00A63839" w:rsidRPr="005F622B">
        <w:rPr>
          <w:szCs w:val="20"/>
        </w:rPr>
        <w:t xml:space="preserve"> </w:t>
      </w:r>
      <w:proofErr w:type="spellStart"/>
      <w:r w:rsidR="00A63839" w:rsidRPr="005F622B">
        <w:rPr>
          <w:szCs w:val="20"/>
          <w:lang w:val="en-US"/>
        </w:rPr>
        <w:t>Matlab</w:t>
      </w:r>
      <w:proofErr w:type="spellEnd"/>
      <w:r w:rsidR="00A63839" w:rsidRPr="005F622B">
        <w:rPr>
          <w:szCs w:val="20"/>
        </w:rPr>
        <w:t xml:space="preserve">  сначала необходимо </w:t>
      </w:r>
      <w:r w:rsidR="001A6981">
        <w:rPr>
          <w:szCs w:val="20"/>
        </w:rPr>
        <w:t>определить</w:t>
      </w:r>
      <w:r w:rsidR="00A63839" w:rsidRPr="005F622B">
        <w:rPr>
          <w:szCs w:val="20"/>
        </w:rPr>
        <w:t xml:space="preserve"> коэффициенты полинома</w:t>
      </w:r>
      <w:r w:rsidR="00353C99" w:rsidRPr="005F622B">
        <w:rPr>
          <w:szCs w:val="20"/>
        </w:rPr>
        <w:t xml:space="preserve">, используя </w:t>
      </w:r>
      <w:r w:rsidR="001A6981">
        <w:rPr>
          <w:szCs w:val="20"/>
        </w:rPr>
        <w:t>динамическую характеристику</w:t>
      </w:r>
      <w:r w:rsidR="00353C99" w:rsidRPr="005F622B">
        <w:rPr>
          <w:szCs w:val="20"/>
        </w:rPr>
        <w:t xml:space="preserve"> </w:t>
      </w:r>
      <w:r w:rsidR="001A6981">
        <w:rPr>
          <w:szCs w:val="20"/>
        </w:rPr>
        <w:t>тестируемого</w:t>
      </w:r>
      <w:r w:rsidR="00353C99" w:rsidRPr="005F622B">
        <w:rPr>
          <w:szCs w:val="20"/>
        </w:rPr>
        <w:t xml:space="preserve"> усилителя.</w:t>
      </w:r>
      <w:r w:rsidR="001A6981">
        <w:rPr>
          <w:szCs w:val="20"/>
        </w:rPr>
        <w:t xml:space="preserve"> Коэффициенты рассчитываются на основании</w:t>
      </w:r>
      <w:r w:rsidR="00327DD0" w:rsidRPr="005F622B">
        <w:rPr>
          <w:szCs w:val="20"/>
        </w:rPr>
        <w:t xml:space="preserve"> метод</w:t>
      </w:r>
      <w:r w:rsidR="001A6981">
        <w:rPr>
          <w:szCs w:val="20"/>
        </w:rPr>
        <w:t>а</w:t>
      </w:r>
      <w:r w:rsidR="00327DD0" w:rsidRPr="005F622B">
        <w:rPr>
          <w:szCs w:val="20"/>
        </w:rPr>
        <w:t xml:space="preserve"> наименьших квадратов.</w:t>
      </w:r>
      <w:r w:rsidR="007C3A92" w:rsidRPr="005F622B">
        <w:rPr>
          <w:szCs w:val="20"/>
        </w:rPr>
        <w:t xml:space="preserve"> После </w:t>
      </w:r>
      <w:r w:rsidR="001A6981">
        <w:rPr>
          <w:szCs w:val="20"/>
        </w:rPr>
        <w:t xml:space="preserve">их </w:t>
      </w:r>
      <w:r w:rsidR="007C3A92" w:rsidRPr="005F622B">
        <w:rPr>
          <w:szCs w:val="20"/>
        </w:rPr>
        <w:t>получения  можно использовать</w:t>
      </w:r>
      <w:r>
        <w:rPr>
          <w:szCs w:val="20"/>
        </w:rPr>
        <w:t xml:space="preserve"> </w:t>
      </w:r>
      <w:r w:rsidR="007C3A92" w:rsidRPr="005F622B">
        <w:rPr>
          <w:szCs w:val="20"/>
        </w:rPr>
        <w:t xml:space="preserve">класс </w:t>
      </w:r>
      <w:proofErr w:type="spellStart"/>
      <w:r w:rsidR="007C3A92" w:rsidRPr="005F622B">
        <w:rPr>
          <w:szCs w:val="20"/>
          <w:lang w:val="en-US"/>
        </w:rPr>
        <w:t>comm</w:t>
      </w:r>
      <w:proofErr w:type="spellEnd"/>
      <w:r w:rsidR="007C3A92" w:rsidRPr="005F622B">
        <w:rPr>
          <w:szCs w:val="20"/>
        </w:rPr>
        <w:t>.</w:t>
      </w:r>
      <w:r w:rsidR="007C3A92" w:rsidRPr="005F622B">
        <w:rPr>
          <w:szCs w:val="20"/>
          <w:lang w:val="en-US"/>
        </w:rPr>
        <w:t>DPD</w:t>
      </w:r>
      <w:r w:rsidR="007C3A92" w:rsidRPr="005F622B">
        <w:rPr>
          <w:szCs w:val="20"/>
        </w:rPr>
        <w:t xml:space="preserve"> для моделирования усилителя. </w:t>
      </w:r>
      <w:r w:rsidR="00B1707E" w:rsidRPr="005F622B">
        <w:rPr>
          <w:szCs w:val="20"/>
        </w:rPr>
        <w:t xml:space="preserve">Данный класс предназначен для моделирования </w:t>
      </w:r>
      <w:proofErr w:type="spellStart"/>
      <w:r w:rsidR="00B1707E" w:rsidRPr="005F622B">
        <w:rPr>
          <w:szCs w:val="20"/>
        </w:rPr>
        <w:t>предысказител</w:t>
      </w:r>
      <w:r w:rsidR="00665DC8" w:rsidRPr="005F622B">
        <w:rPr>
          <w:szCs w:val="20"/>
        </w:rPr>
        <w:t>ей</w:t>
      </w:r>
      <w:proofErr w:type="spellEnd"/>
      <w:r w:rsidR="00B1707E" w:rsidRPr="005F622B">
        <w:rPr>
          <w:szCs w:val="20"/>
        </w:rPr>
        <w:t xml:space="preserve">, но так как модель усилителя от модели </w:t>
      </w:r>
      <w:proofErr w:type="spellStart"/>
      <w:r w:rsidR="00B1707E" w:rsidRPr="005F622B">
        <w:rPr>
          <w:szCs w:val="20"/>
        </w:rPr>
        <w:t>предысказителя</w:t>
      </w:r>
      <w:proofErr w:type="spellEnd"/>
      <w:r w:rsidR="00B1707E" w:rsidRPr="005F622B">
        <w:rPr>
          <w:szCs w:val="20"/>
        </w:rPr>
        <w:t xml:space="preserve"> отличается</w:t>
      </w:r>
      <w:r w:rsidR="00F265B3" w:rsidRPr="005F622B">
        <w:rPr>
          <w:szCs w:val="20"/>
        </w:rPr>
        <w:t xml:space="preserve"> только</w:t>
      </w:r>
      <w:r w:rsidR="00B1707E" w:rsidRPr="005F622B">
        <w:rPr>
          <w:szCs w:val="20"/>
        </w:rPr>
        <w:t xml:space="preserve"> коэффициентами полинома, то данный класс также можно использовать и для моделирования </w:t>
      </w:r>
      <w:r>
        <w:rPr>
          <w:szCs w:val="20"/>
        </w:rPr>
        <w:t xml:space="preserve"> самих </w:t>
      </w:r>
      <w:r w:rsidR="00B1707E" w:rsidRPr="005F622B">
        <w:rPr>
          <w:szCs w:val="20"/>
        </w:rPr>
        <w:t>усилителей.</w:t>
      </w:r>
      <w:r w:rsidR="009D2247" w:rsidRPr="005F622B">
        <w:rPr>
          <w:szCs w:val="20"/>
        </w:rPr>
        <w:t xml:space="preserve"> </w:t>
      </w:r>
    </w:p>
    <w:p w:rsidR="00745DDD" w:rsidRDefault="009C387F" w:rsidP="00892627">
      <w:pPr>
        <w:rPr>
          <w:rFonts w:eastAsiaTheme="minorEastAsia"/>
          <w:szCs w:val="20"/>
        </w:rPr>
      </w:pPr>
      <w:r>
        <w:rPr>
          <w:szCs w:val="20"/>
        </w:rPr>
        <w:t>При проведении</w:t>
      </w:r>
      <w:r w:rsidR="009D2247" w:rsidRPr="005F622B">
        <w:rPr>
          <w:szCs w:val="20"/>
        </w:rPr>
        <w:t xml:space="preserve"> тестирования использовались коэффициенты</w:t>
      </w:r>
      <w:r w:rsidR="001A6981">
        <w:rPr>
          <w:szCs w:val="20"/>
        </w:rPr>
        <w:t>,</w:t>
      </w:r>
      <w:r w:rsidR="009D2247" w:rsidRPr="005F622B">
        <w:rPr>
          <w:szCs w:val="20"/>
        </w:rPr>
        <w:t xml:space="preserve"> р</w:t>
      </w:r>
      <w:r w:rsidR="001A6981">
        <w:rPr>
          <w:szCs w:val="20"/>
        </w:rPr>
        <w:t>а</w:t>
      </w:r>
      <w:r w:rsidR="009D2247" w:rsidRPr="005F622B">
        <w:rPr>
          <w:szCs w:val="20"/>
        </w:rPr>
        <w:t xml:space="preserve">ссчитанные для усилителя NXP </w:t>
      </w:r>
      <w:proofErr w:type="spellStart"/>
      <w:r w:rsidR="009D2247" w:rsidRPr="005F622B">
        <w:rPr>
          <w:szCs w:val="20"/>
        </w:rPr>
        <w:t>Airfast</w:t>
      </w:r>
      <w:proofErr w:type="spellEnd"/>
      <w:r w:rsidR="009D2247" w:rsidRPr="005F622B">
        <w:rPr>
          <w:szCs w:val="20"/>
        </w:rPr>
        <w:t xml:space="preserve"> LDMOS </w:t>
      </w:r>
      <w:proofErr w:type="spellStart"/>
      <w:r w:rsidR="009D2247" w:rsidRPr="005F622B">
        <w:rPr>
          <w:szCs w:val="20"/>
        </w:rPr>
        <w:t>Doherty</w:t>
      </w:r>
      <w:proofErr w:type="spellEnd"/>
      <w:r w:rsidR="009D2247" w:rsidRPr="005F622B">
        <w:rPr>
          <w:szCs w:val="20"/>
        </w:rPr>
        <w:t xml:space="preserve"> PA.</w:t>
      </w:r>
      <w:r w:rsidR="006F6825" w:rsidRPr="005F622B">
        <w:rPr>
          <w:szCs w:val="20"/>
        </w:rPr>
        <w:t xml:space="preserve"> Коэффициент передачи этого усилителя </w:t>
      </w:r>
      <w:r w:rsidR="006F6825" w:rsidRPr="005F622B">
        <w:rPr>
          <w:szCs w:val="20"/>
          <w:lang w:val="en-US"/>
        </w:rPr>
        <w:t>G</w:t>
      </w:r>
      <w:r w:rsidR="006F6825" w:rsidRPr="005F622B">
        <w:rPr>
          <w:szCs w:val="20"/>
        </w:rPr>
        <w:t xml:space="preserve"> = 29 дБ, точка насыщения </w:t>
      </w:r>
      <m:oMath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Cs w:val="20"/>
              </w:rPr>
              <m:t>in_sat</m:t>
            </m:r>
          </m:sub>
        </m:sSub>
        <m:r>
          <w:rPr>
            <w:rFonts w:ascii="Cambria Math" w:eastAsiaTheme="minorEastAsia" w:hAnsi="Cambria Math"/>
            <w:szCs w:val="20"/>
          </w:rPr>
          <m:t>=29</m:t>
        </m:r>
      </m:oMath>
      <w:r w:rsidR="006F6825" w:rsidRPr="005F622B">
        <w:rPr>
          <w:rFonts w:eastAsiaTheme="minorEastAsia"/>
          <w:szCs w:val="20"/>
        </w:rPr>
        <w:t xml:space="preserve"> дБм</w:t>
      </w:r>
      <w:r w:rsidR="00F9638D" w:rsidRPr="005F622B">
        <w:rPr>
          <w:rFonts w:eastAsiaTheme="minorEastAsia"/>
          <w:szCs w:val="20"/>
        </w:rPr>
        <w:t>.</w:t>
      </w:r>
      <w:r w:rsidR="003F5964" w:rsidRPr="005F622B">
        <w:rPr>
          <w:rFonts w:eastAsiaTheme="minorEastAsia"/>
          <w:szCs w:val="20"/>
        </w:rPr>
        <w:t xml:space="preserve"> Спектр входного и выходного сигнала представлен на рисунке </w:t>
      </w:r>
      <w:r w:rsidR="00A43E85">
        <w:rPr>
          <w:rFonts w:eastAsiaTheme="minorEastAsia"/>
          <w:szCs w:val="20"/>
        </w:rPr>
        <w:t>2</w:t>
      </w:r>
      <w:r w:rsidR="003F5964" w:rsidRPr="005F622B">
        <w:rPr>
          <w:rFonts w:eastAsiaTheme="minorEastAsia"/>
          <w:szCs w:val="20"/>
        </w:rPr>
        <w:t>.</w:t>
      </w:r>
      <w:r w:rsidR="008554C2" w:rsidRPr="005F622B">
        <w:rPr>
          <w:rFonts w:eastAsiaTheme="minorEastAsia"/>
          <w:szCs w:val="20"/>
        </w:rPr>
        <w:t xml:space="preserve"> Мощность входного сигнала рассчитыва</w:t>
      </w:r>
      <w:r w:rsidR="001A6981">
        <w:rPr>
          <w:rFonts w:eastAsiaTheme="minorEastAsia"/>
          <w:szCs w:val="20"/>
        </w:rPr>
        <w:t>лась по формуле (2) и составила</w:t>
      </w:r>
      <w:r>
        <w:rPr>
          <w:rFonts w:eastAsiaTheme="minorEastAsia"/>
          <w:szCs w:val="20"/>
        </w:rPr>
        <w:t xml:space="preserve"> 0,</w:t>
      </w:r>
      <w:r w:rsidR="008554C2" w:rsidRPr="005F622B">
        <w:rPr>
          <w:rFonts w:eastAsiaTheme="minorEastAsia"/>
          <w:szCs w:val="20"/>
        </w:rPr>
        <w:t>0</w:t>
      </w:r>
      <w:r w:rsidR="00E06298">
        <w:rPr>
          <w:rFonts w:eastAsiaTheme="minorEastAsia"/>
          <w:szCs w:val="20"/>
        </w:rPr>
        <w:t>6</w:t>
      </w:r>
      <w:r w:rsidR="001A6981">
        <w:rPr>
          <w:rFonts w:eastAsiaTheme="minorEastAsia"/>
          <w:szCs w:val="20"/>
        </w:rPr>
        <w:t xml:space="preserve"> </w:t>
      </w:r>
      <w:proofErr w:type="spellStart"/>
      <w:r w:rsidR="001A6981">
        <w:rPr>
          <w:rFonts w:eastAsiaTheme="minorEastAsia"/>
          <w:szCs w:val="20"/>
        </w:rPr>
        <w:t>дБм</w:t>
      </w:r>
      <w:proofErr w:type="spellEnd"/>
      <w:r w:rsidR="001A6981">
        <w:rPr>
          <w:rFonts w:eastAsiaTheme="minorEastAsia"/>
          <w:szCs w:val="20"/>
        </w:rPr>
        <w:t>.</w:t>
      </w:r>
      <w:r w:rsidR="00745DDD">
        <w:rPr>
          <w:rFonts w:eastAsiaTheme="minorEastAsia"/>
          <w:szCs w:val="20"/>
        </w:rPr>
        <w:t xml:space="preserve"> </w:t>
      </w:r>
      <w:r w:rsidR="00745DDD">
        <w:rPr>
          <w:rFonts w:eastAsiaTheme="minorEastAsia"/>
          <w:szCs w:val="20"/>
          <w:lang w:val="en-US"/>
        </w:rPr>
        <w:t>ACLR</w:t>
      </w:r>
      <w:r w:rsidR="00745DDD" w:rsidRPr="00745DDD">
        <w:rPr>
          <w:rFonts w:eastAsiaTheme="minorEastAsia"/>
          <w:szCs w:val="20"/>
        </w:rPr>
        <w:t xml:space="preserve"> </w:t>
      </w:r>
      <w:r w:rsidR="00745DDD">
        <w:rPr>
          <w:rFonts w:eastAsiaTheme="minorEastAsia"/>
          <w:szCs w:val="20"/>
        </w:rPr>
        <w:t>выходного сигнала состав</w:t>
      </w:r>
      <w:r w:rsidR="00BC1C0B">
        <w:rPr>
          <w:rFonts w:eastAsiaTheme="minorEastAsia"/>
          <w:szCs w:val="20"/>
        </w:rPr>
        <w:t>ило</w:t>
      </w:r>
      <w:r>
        <w:rPr>
          <w:rFonts w:eastAsiaTheme="minorEastAsia"/>
          <w:szCs w:val="20"/>
        </w:rPr>
        <w:t xml:space="preserve"> 39</w:t>
      </w:r>
      <w:r w:rsidR="00745DDD">
        <w:rPr>
          <w:rFonts w:eastAsiaTheme="minorEastAsia"/>
          <w:szCs w:val="20"/>
        </w:rPr>
        <w:t xml:space="preserve"> дБ</w:t>
      </w:r>
      <w:r w:rsidR="0061293D">
        <w:rPr>
          <w:rFonts w:eastAsiaTheme="minorEastAsia"/>
          <w:szCs w:val="20"/>
        </w:rPr>
        <w:t xml:space="preserve">, что </w:t>
      </w:r>
      <w:proofErr w:type="gramStart"/>
      <w:r w:rsidR="0061293D">
        <w:rPr>
          <w:rFonts w:eastAsiaTheme="minorEastAsia"/>
          <w:szCs w:val="20"/>
        </w:rPr>
        <w:t>отличается</w:t>
      </w:r>
      <w:r w:rsidR="00BC1C0B">
        <w:rPr>
          <w:rFonts w:eastAsiaTheme="minorEastAsia"/>
          <w:szCs w:val="20"/>
        </w:rPr>
        <w:t xml:space="preserve"> </w:t>
      </w:r>
      <w:r w:rsidR="0061293D">
        <w:rPr>
          <w:rFonts w:eastAsiaTheme="minorEastAsia"/>
          <w:szCs w:val="20"/>
        </w:rPr>
        <w:t xml:space="preserve"> от</w:t>
      </w:r>
      <w:proofErr w:type="gramEnd"/>
      <w:r w:rsidR="00BC1C0B">
        <w:rPr>
          <w:rFonts w:eastAsiaTheme="minorEastAsia"/>
          <w:szCs w:val="20"/>
        </w:rPr>
        <w:t xml:space="preserve"> результата, полученного для </w:t>
      </w:r>
      <w:r>
        <w:rPr>
          <w:rFonts w:eastAsiaTheme="minorEastAsia"/>
          <w:szCs w:val="20"/>
        </w:rPr>
        <w:t xml:space="preserve"> модели без памяти на 2</w:t>
      </w:r>
      <w:r w:rsidR="0061293D">
        <w:rPr>
          <w:rFonts w:eastAsiaTheme="minorEastAsia"/>
          <w:szCs w:val="20"/>
        </w:rPr>
        <w:t xml:space="preserve"> дБ.</w:t>
      </w:r>
      <w:r w:rsidR="00C73F9D">
        <w:rPr>
          <w:rFonts w:eastAsiaTheme="minorEastAsia"/>
          <w:szCs w:val="20"/>
        </w:rPr>
        <w:t xml:space="preserve"> </w:t>
      </w:r>
    </w:p>
    <w:p w:rsidR="00A603EC" w:rsidRDefault="006A0DEB" w:rsidP="00936D84">
      <w:pPr>
        <w:rPr>
          <w:i/>
          <w:iCs/>
          <w:sz w:val="18"/>
          <w:szCs w:val="18"/>
        </w:rPr>
      </w:pPr>
      <w:r>
        <w:rPr>
          <w:rFonts w:eastAsiaTheme="minorEastAsia"/>
          <w:szCs w:val="20"/>
        </w:rPr>
        <w:t>Как видно из рисунка 2</w:t>
      </w:r>
      <w:r w:rsidR="009C387F">
        <w:rPr>
          <w:rFonts w:eastAsiaTheme="minorEastAsia"/>
          <w:szCs w:val="20"/>
        </w:rPr>
        <w:t>,</w:t>
      </w:r>
      <w:r>
        <w:rPr>
          <w:rFonts w:eastAsiaTheme="minorEastAsia"/>
          <w:szCs w:val="20"/>
        </w:rPr>
        <w:t xml:space="preserve"> боковые лепестки спектра присутствуют также и </w:t>
      </w:r>
      <w:r w:rsidR="009C387F">
        <w:rPr>
          <w:rFonts w:eastAsiaTheme="minorEastAsia"/>
          <w:szCs w:val="20"/>
        </w:rPr>
        <w:t>в диапазонах частот</w:t>
      </w:r>
      <w:r w:rsidR="00BC1C0B">
        <w:rPr>
          <w:rFonts w:eastAsiaTheme="minorEastAsia"/>
          <w:szCs w:val="20"/>
        </w:rPr>
        <w:t xml:space="preserve"> от 150 МГ</w:t>
      </w:r>
      <w:r w:rsidR="00DA480B">
        <w:rPr>
          <w:rFonts w:eastAsiaTheme="minorEastAsia"/>
          <w:szCs w:val="20"/>
        </w:rPr>
        <w:t xml:space="preserve">ц до </w:t>
      </w:r>
      <w:r w:rsidR="00B9317E">
        <w:rPr>
          <w:rFonts w:eastAsiaTheme="minorEastAsia"/>
          <w:szCs w:val="20"/>
        </w:rPr>
        <w:t>500 МГц и от -500 МГц до -150 МГ</w:t>
      </w:r>
      <w:r w:rsidR="00DA480B">
        <w:rPr>
          <w:rFonts w:eastAsiaTheme="minorEastAsia"/>
          <w:szCs w:val="20"/>
        </w:rPr>
        <w:t xml:space="preserve">ц в </w:t>
      </w:r>
    </w:p>
    <w:p w:rsidR="00A603EC" w:rsidRDefault="00A603EC" w:rsidP="00A603EC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Рисунок 2 – Спектр сигнала до и после усилителя</w:t>
      </w:r>
    </w:p>
    <w:p w:rsidR="00A603EC" w:rsidRDefault="00A603EC" w:rsidP="00C62C6E">
      <w:pPr>
        <w:rPr>
          <w:rFonts w:eastAsiaTheme="minorEastAsia"/>
          <w:szCs w:val="20"/>
        </w:rPr>
      </w:pPr>
    </w:p>
    <w:p w:rsidR="00F126BA" w:rsidRDefault="00C576B2" w:rsidP="00A603EC">
      <w:pPr>
        <w:ind w:firstLine="0"/>
        <w:rPr>
          <w:rFonts w:eastAsiaTheme="minorEastAsia"/>
          <w:szCs w:val="20"/>
        </w:rPr>
      </w:pPr>
      <w:r>
        <w:rPr>
          <w:rFonts w:eastAsiaTheme="minorEastAsia"/>
          <w:szCs w:val="20"/>
        </w:rPr>
        <w:t xml:space="preserve">отличии от </w:t>
      </w:r>
      <w:r w:rsidR="00A77F00" w:rsidRPr="00F126BA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427095" cy="1853565"/>
            <wp:effectExtent l="0" t="0" r="1905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3" t="5571" r="6899"/>
                    <a:stretch/>
                  </pic:blipFill>
                  <pic:spPr bwMode="auto">
                    <a:xfrm>
                      <a:off x="0" y="0"/>
                      <a:ext cx="342709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A480B">
        <w:rPr>
          <w:rFonts w:eastAsiaTheme="minorEastAsia"/>
          <w:szCs w:val="20"/>
        </w:rPr>
        <w:t>модели без памяти.</w:t>
      </w:r>
    </w:p>
    <w:p w:rsidR="00CA2E49" w:rsidRDefault="005F6769" w:rsidP="00623286">
      <w:pPr>
        <w:rPr>
          <w:i/>
          <w:iCs/>
          <w:sz w:val="18"/>
          <w:szCs w:val="18"/>
        </w:rPr>
      </w:pPr>
      <w:r>
        <w:rPr>
          <w:rFonts w:eastAsiaTheme="minorEastAsia"/>
          <w:szCs w:val="20"/>
        </w:rPr>
        <w:t>По результатам исследования можно сделать след</w:t>
      </w:r>
      <w:r w:rsidR="00872BE3">
        <w:rPr>
          <w:rFonts w:eastAsiaTheme="minorEastAsia"/>
          <w:szCs w:val="20"/>
        </w:rPr>
        <w:t>ующие выводы. Модель усилителя без</w:t>
      </w:r>
      <w:r w:rsidR="00EA4ECE">
        <w:rPr>
          <w:rFonts w:eastAsiaTheme="minorEastAsia"/>
          <w:szCs w:val="20"/>
        </w:rPr>
        <w:t xml:space="preserve"> памяти</w:t>
      </w:r>
      <w:r>
        <w:rPr>
          <w:rFonts w:eastAsiaTheme="minorEastAsia"/>
          <w:szCs w:val="20"/>
        </w:rPr>
        <w:t xml:space="preserve"> по уровню </w:t>
      </w:r>
      <w:r>
        <w:rPr>
          <w:rFonts w:eastAsiaTheme="minorEastAsia"/>
          <w:szCs w:val="20"/>
          <w:lang w:val="en-US"/>
        </w:rPr>
        <w:t>ACLR</w:t>
      </w:r>
      <w:r w:rsidRPr="005F6769">
        <w:rPr>
          <w:rFonts w:eastAsiaTheme="minorEastAsia"/>
          <w:szCs w:val="20"/>
        </w:rPr>
        <w:t xml:space="preserve"> </w:t>
      </w:r>
      <w:r>
        <w:rPr>
          <w:rFonts w:eastAsiaTheme="minorEastAsia"/>
          <w:szCs w:val="20"/>
        </w:rPr>
        <w:t>в полосах</w:t>
      </w:r>
      <w:r w:rsidR="000275E4">
        <w:rPr>
          <w:rFonts w:eastAsiaTheme="minorEastAsia"/>
          <w:szCs w:val="20"/>
        </w:rPr>
        <w:t xml:space="preserve"> от -150 МГц до -50 МГц и от 50 МГц до 150 МГц отличается от модели с памятью не</w:t>
      </w:r>
      <w:r w:rsidR="009C387F">
        <w:rPr>
          <w:rFonts w:eastAsiaTheme="minorEastAsia"/>
          <w:szCs w:val="20"/>
        </w:rPr>
        <w:t>значительно (на 2</w:t>
      </w:r>
      <w:r w:rsidR="000275E4">
        <w:rPr>
          <w:rFonts w:eastAsiaTheme="minorEastAsia"/>
          <w:szCs w:val="20"/>
        </w:rPr>
        <w:t xml:space="preserve"> дБ)</w:t>
      </w:r>
      <w:r w:rsidR="006025A0">
        <w:rPr>
          <w:rFonts w:eastAsiaTheme="minorEastAsia"/>
          <w:szCs w:val="20"/>
        </w:rPr>
        <w:t>.</w:t>
      </w:r>
      <w:r w:rsidR="009C387F">
        <w:rPr>
          <w:rFonts w:eastAsiaTheme="minorEastAsia"/>
          <w:szCs w:val="20"/>
        </w:rPr>
        <w:t xml:space="preserve"> Моделирование</w:t>
      </w:r>
      <w:r w:rsidR="00ED4AF0">
        <w:rPr>
          <w:rFonts w:eastAsiaTheme="minorEastAsia"/>
          <w:szCs w:val="20"/>
        </w:rPr>
        <w:t xml:space="preserve"> усилителя с памятью </w:t>
      </w:r>
      <w:r w:rsidR="009C387F">
        <w:rPr>
          <w:rFonts w:eastAsiaTheme="minorEastAsia"/>
          <w:szCs w:val="20"/>
        </w:rPr>
        <w:t>показало, что</w:t>
      </w:r>
      <w:r w:rsidR="00ED4AF0">
        <w:rPr>
          <w:rFonts w:eastAsiaTheme="minorEastAsia"/>
          <w:szCs w:val="20"/>
        </w:rPr>
        <w:t xml:space="preserve"> искажения</w:t>
      </w:r>
      <w:r w:rsidR="00225252">
        <w:rPr>
          <w:rFonts w:eastAsiaTheme="minorEastAsia"/>
          <w:szCs w:val="20"/>
        </w:rPr>
        <w:t>,</w:t>
      </w:r>
      <w:r w:rsidR="00ED4AF0">
        <w:rPr>
          <w:rFonts w:eastAsiaTheme="minorEastAsia"/>
          <w:szCs w:val="20"/>
        </w:rPr>
        <w:t xml:space="preserve"> </w:t>
      </w:r>
      <w:r w:rsidR="00127706">
        <w:rPr>
          <w:rFonts w:eastAsiaTheme="minorEastAsia"/>
          <w:szCs w:val="20"/>
        </w:rPr>
        <w:t>наблюдаются</w:t>
      </w:r>
      <w:r w:rsidR="00ED4AF0">
        <w:rPr>
          <w:rFonts w:eastAsiaTheme="minorEastAsia"/>
          <w:szCs w:val="20"/>
        </w:rPr>
        <w:t xml:space="preserve"> в частотны</w:t>
      </w:r>
      <w:r w:rsidR="009C387F">
        <w:rPr>
          <w:rFonts w:eastAsiaTheme="minorEastAsia"/>
          <w:szCs w:val="20"/>
        </w:rPr>
        <w:t>х</w:t>
      </w:r>
      <w:r w:rsidR="00ED4AF0">
        <w:rPr>
          <w:rFonts w:eastAsiaTheme="minorEastAsia"/>
          <w:szCs w:val="20"/>
        </w:rPr>
        <w:t xml:space="preserve"> диапазон</w:t>
      </w:r>
      <w:r w:rsidR="009C387F">
        <w:rPr>
          <w:rFonts w:eastAsiaTheme="minorEastAsia"/>
          <w:szCs w:val="20"/>
        </w:rPr>
        <w:t>ах</w:t>
      </w:r>
      <w:r w:rsidR="00ED4AF0">
        <w:rPr>
          <w:rFonts w:eastAsiaTheme="minorEastAsia"/>
          <w:szCs w:val="20"/>
        </w:rPr>
        <w:t xml:space="preserve"> от -500 МГц до -150 МГц и от 150 МГц до 500 МГ</w:t>
      </w:r>
      <w:r w:rsidR="009C387F">
        <w:rPr>
          <w:rFonts w:eastAsiaTheme="minorEastAsia"/>
          <w:szCs w:val="20"/>
        </w:rPr>
        <w:t xml:space="preserve">ц, которые отсутствуют </w:t>
      </w:r>
      <w:r w:rsidR="00780D5E">
        <w:rPr>
          <w:rFonts w:eastAsiaTheme="minorEastAsia"/>
          <w:szCs w:val="20"/>
        </w:rPr>
        <w:t>в модели без памяти.</w:t>
      </w:r>
      <w:r w:rsidR="00297155">
        <w:rPr>
          <w:rFonts w:eastAsiaTheme="minorEastAsia"/>
          <w:szCs w:val="20"/>
        </w:rPr>
        <w:t xml:space="preserve"> П</w:t>
      </w:r>
      <w:r w:rsidR="008F2144">
        <w:rPr>
          <w:rFonts w:eastAsiaTheme="minorEastAsia"/>
          <w:szCs w:val="20"/>
        </w:rPr>
        <w:t xml:space="preserve">одготовка коэффициентов для моделей с памятью требует </w:t>
      </w:r>
      <w:r w:rsidR="00127706">
        <w:rPr>
          <w:rFonts w:eastAsiaTheme="minorEastAsia"/>
          <w:szCs w:val="20"/>
        </w:rPr>
        <w:t xml:space="preserve">получения </w:t>
      </w:r>
      <w:r w:rsidR="009C387F">
        <w:rPr>
          <w:rFonts w:eastAsiaTheme="minorEastAsia"/>
          <w:szCs w:val="20"/>
        </w:rPr>
        <w:t>результатов</w:t>
      </w:r>
      <w:r w:rsidR="00127706">
        <w:rPr>
          <w:rFonts w:eastAsiaTheme="minorEastAsia"/>
          <w:szCs w:val="20"/>
        </w:rPr>
        <w:t xml:space="preserve"> предварительного</w:t>
      </w:r>
      <w:r w:rsidR="009C387F">
        <w:rPr>
          <w:rFonts w:eastAsiaTheme="minorEastAsia"/>
          <w:szCs w:val="20"/>
        </w:rPr>
        <w:t xml:space="preserve"> </w:t>
      </w:r>
      <w:r w:rsidR="00127706">
        <w:rPr>
          <w:rFonts w:eastAsiaTheme="minorEastAsia"/>
          <w:szCs w:val="20"/>
        </w:rPr>
        <w:t xml:space="preserve"> измерения</w:t>
      </w:r>
      <w:r w:rsidR="008F2144">
        <w:rPr>
          <w:rFonts w:eastAsiaTheme="minorEastAsia"/>
          <w:szCs w:val="20"/>
        </w:rPr>
        <w:t xml:space="preserve"> </w:t>
      </w:r>
      <w:r w:rsidR="009C387F">
        <w:rPr>
          <w:rFonts w:eastAsiaTheme="minorEastAsia"/>
          <w:szCs w:val="20"/>
        </w:rPr>
        <w:t>динамической характеристики</w:t>
      </w:r>
      <w:r w:rsidR="008F2144">
        <w:rPr>
          <w:rFonts w:eastAsiaTheme="minorEastAsia"/>
          <w:szCs w:val="20"/>
        </w:rPr>
        <w:t xml:space="preserve"> усилителя, что</w:t>
      </w:r>
      <w:r w:rsidR="00127706">
        <w:rPr>
          <w:rFonts w:eastAsiaTheme="minorEastAsia"/>
          <w:szCs w:val="20"/>
        </w:rPr>
        <w:t xml:space="preserve"> </w:t>
      </w:r>
      <w:r w:rsidR="008F2144">
        <w:rPr>
          <w:rFonts w:eastAsiaTheme="minorEastAsia"/>
          <w:szCs w:val="20"/>
        </w:rPr>
        <w:t xml:space="preserve"> усложняет процесс моделирования.</w:t>
      </w:r>
      <w:r w:rsidR="003A0500">
        <w:rPr>
          <w:rFonts w:eastAsiaTheme="minorEastAsia"/>
          <w:szCs w:val="20"/>
        </w:rPr>
        <w:t xml:space="preserve"> </w:t>
      </w:r>
    </w:p>
    <w:p w:rsidR="00943C26" w:rsidRPr="00BB01A0" w:rsidRDefault="00943C26" w:rsidP="008F1DD8">
      <w:pPr>
        <w:ind w:firstLine="0"/>
        <w:rPr>
          <w:i/>
          <w:iCs/>
          <w:sz w:val="18"/>
          <w:szCs w:val="18"/>
        </w:rPr>
      </w:pPr>
    </w:p>
    <w:p w:rsidR="00C21170" w:rsidRPr="0011055F" w:rsidRDefault="00C21170" w:rsidP="00C21170">
      <w:pPr>
        <w:jc w:val="center"/>
        <w:rPr>
          <w:b/>
          <w:bCs/>
          <w:lang w:val="en-US"/>
        </w:rPr>
      </w:pPr>
      <w:r w:rsidRPr="00C21170">
        <w:rPr>
          <w:b/>
          <w:bCs/>
        </w:rPr>
        <w:t>Список</w:t>
      </w:r>
      <w:r w:rsidRPr="0011055F">
        <w:rPr>
          <w:b/>
          <w:bCs/>
          <w:lang w:val="en-US"/>
        </w:rPr>
        <w:t xml:space="preserve"> </w:t>
      </w:r>
      <w:r w:rsidRPr="00C21170">
        <w:rPr>
          <w:b/>
          <w:bCs/>
        </w:rPr>
        <w:t>литературы</w:t>
      </w:r>
    </w:p>
    <w:p w:rsidR="00A95BE7" w:rsidRPr="0011055F" w:rsidRDefault="00A95BE7" w:rsidP="0060244A">
      <w:pPr>
        <w:rPr>
          <w:lang w:val="en-US"/>
        </w:rPr>
      </w:pPr>
    </w:p>
    <w:p w:rsidR="00A95BE7" w:rsidRPr="00130DA9" w:rsidRDefault="00130DA9" w:rsidP="00130DA9">
      <w:pPr>
        <w:rPr>
          <w:lang w:val="en-US"/>
        </w:rPr>
      </w:pPr>
      <w:r w:rsidRPr="00130DA9">
        <w:rPr>
          <w:lang w:val="en-US"/>
        </w:rPr>
        <w:t>1.</w:t>
      </w:r>
      <w:r>
        <w:rPr>
          <w:lang w:val="en-US"/>
        </w:rPr>
        <w:t xml:space="preserve"> </w:t>
      </w:r>
      <w:r w:rsidR="00C21170" w:rsidRPr="00130DA9">
        <w:rPr>
          <w:lang w:val="en-US"/>
        </w:rPr>
        <w:t xml:space="preserve">Mathias, </w:t>
      </w:r>
      <w:proofErr w:type="spellStart"/>
      <w:r w:rsidR="00C21170" w:rsidRPr="00130DA9">
        <w:rPr>
          <w:lang w:val="en-US"/>
        </w:rPr>
        <w:t>Friese</w:t>
      </w:r>
      <w:proofErr w:type="spellEnd"/>
      <w:r w:rsidR="00C21170" w:rsidRPr="00130DA9">
        <w:rPr>
          <w:lang w:val="en-US"/>
        </w:rPr>
        <w:t xml:space="preserve"> OFDM SIGNALS WITH LOW CREST-FA / </w:t>
      </w:r>
      <w:proofErr w:type="spellStart"/>
      <w:r w:rsidR="00C21170" w:rsidRPr="00130DA9">
        <w:rPr>
          <w:lang w:val="en-US"/>
        </w:rPr>
        <w:t>Friese</w:t>
      </w:r>
      <w:proofErr w:type="spellEnd"/>
      <w:r w:rsidR="00C21170" w:rsidRPr="00130DA9">
        <w:rPr>
          <w:lang w:val="en-US"/>
        </w:rPr>
        <w:t xml:space="preserve"> Mathias. — </w:t>
      </w:r>
      <w:proofErr w:type="gramStart"/>
      <w:r w:rsidR="00C21170" w:rsidRPr="00C21170">
        <w:t>Текст</w:t>
      </w:r>
      <w:r w:rsidR="00C21170" w:rsidRPr="00130DA9">
        <w:rPr>
          <w:lang w:val="en-US"/>
        </w:rPr>
        <w:t xml:space="preserve"> :</w:t>
      </w:r>
      <w:proofErr w:type="gramEnd"/>
      <w:r w:rsidR="00C21170" w:rsidRPr="00130DA9">
        <w:rPr>
          <w:lang w:val="en-US"/>
        </w:rPr>
        <w:t xml:space="preserve"> </w:t>
      </w:r>
      <w:r w:rsidR="00C21170" w:rsidRPr="00C21170">
        <w:t>непосредственный</w:t>
      </w:r>
      <w:r w:rsidR="00C21170" w:rsidRPr="00130DA9">
        <w:rPr>
          <w:lang w:val="en-US"/>
        </w:rPr>
        <w:t xml:space="preserve"> // GLOBECOM 97. IEEE Global Telecommunications Conference. Conference Record. — Phoenix, AZ, </w:t>
      </w:r>
      <w:proofErr w:type="gramStart"/>
      <w:r w:rsidR="00C21170" w:rsidRPr="00130DA9">
        <w:rPr>
          <w:lang w:val="en-US"/>
        </w:rPr>
        <w:t>USA :</w:t>
      </w:r>
      <w:proofErr w:type="gramEnd"/>
      <w:r w:rsidR="00C21170" w:rsidRPr="00130DA9">
        <w:rPr>
          <w:lang w:val="en-US"/>
        </w:rPr>
        <w:t xml:space="preserve"> IEEE, 1997. — </w:t>
      </w:r>
      <w:r w:rsidR="00C21170" w:rsidRPr="00C21170">
        <w:t>С</w:t>
      </w:r>
      <w:r w:rsidR="00C21170" w:rsidRPr="00130DA9">
        <w:rPr>
          <w:lang w:val="en-US"/>
        </w:rPr>
        <w:t>. 290-294.</w:t>
      </w:r>
    </w:p>
    <w:p w:rsidR="00130DA9" w:rsidRDefault="008B5D19" w:rsidP="00130DA9">
      <w:pPr>
        <w:rPr>
          <w:lang w:val="en-US"/>
        </w:rPr>
      </w:pPr>
      <w:r>
        <w:rPr>
          <w:lang w:val="en-US"/>
        </w:rPr>
        <w:t xml:space="preserve">2. </w:t>
      </w:r>
      <w:proofErr w:type="spellStart"/>
      <w:r w:rsidRPr="008B5D19">
        <w:rPr>
          <w:lang w:val="en-US"/>
        </w:rPr>
        <w:t>Fadhel</w:t>
      </w:r>
      <w:proofErr w:type="spellEnd"/>
      <w:r w:rsidRPr="008B5D19">
        <w:rPr>
          <w:lang w:val="en-US"/>
        </w:rPr>
        <w:t xml:space="preserve">, </w:t>
      </w:r>
      <w:proofErr w:type="spellStart"/>
      <w:r w:rsidRPr="008B5D19">
        <w:rPr>
          <w:lang w:val="en-US"/>
        </w:rPr>
        <w:t>M,Ghannouchi,Oualid,Hammi,Mohamed</w:t>
      </w:r>
      <w:proofErr w:type="spellEnd"/>
      <w:r w:rsidRPr="008B5D19">
        <w:rPr>
          <w:lang w:val="en-US"/>
        </w:rPr>
        <w:t xml:space="preserve"> BEHAVIORAL MODELING AND PREDISTORTION OF WIDEBAND WIRELESS TRANSMITTERS / </w:t>
      </w:r>
      <w:proofErr w:type="spellStart"/>
      <w:r w:rsidRPr="008B5D19">
        <w:rPr>
          <w:lang w:val="en-US"/>
        </w:rPr>
        <w:t>M,Ghannouchi,Oualid,Hammi,Mohamed</w:t>
      </w:r>
      <w:proofErr w:type="spellEnd"/>
      <w:r w:rsidRPr="008B5D19">
        <w:rPr>
          <w:lang w:val="en-US"/>
        </w:rPr>
        <w:t xml:space="preserve"> </w:t>
      </w:r>
      <w:proofErr w:type="spellStart"/>
      <w:r w:rsidRPr="008B5D19">
        <w:rPr>
          <w:lang w:val="en-US"/>
        </w:rPr>
        <w:t>Fadhel</w:t>
      </w:r>
      <w:proofErr w:type="spellEnd"/>
      <w:r w:rsidRPr="008B5D19">
        <w:rPr>
          <w:lang w:val="en-US"/>
        </w:rPr>
        <w:t xml:space="preserve">. — edition first. — </w:t>
      </w:r>
      <w:proofErr w:type="gramStart"/>
      <w:r w:rsidRPr="008B5D19">
        <w:rPr>
          <w:lang w:val="en-US"/>
        </w:rPr>
        <w:t>Chennai :</w:t>
      </w:r>
      <w:proofErr w:type="gramEnd"/>
      <w:r w:rsidRPr="008B5D19">
        <w:rPr>
          <w:lang w:val="en-US"/>
        </w:rPr>
        <w:t xml:space="preserve"> Willey, 2015. — 253 c. — </w:t>
      </w:r>
      <w:proofErr w:type="spellStart"/>
      <w:proofErr w:type="gramStart"/>
      <w:r w:rsidRPr="008B5D19">
        <w:rPr>
          <w:lang w:val="en-US"/>
        </w:rPr>
        <w:t>Текст</w:t>
      </w:r>
      <w:proofErr w:type="spellEnd"/>
      <w:r w:rsidRPr="008B5D19">
        <w:rPr>
          <w:lang w:val="en-US"/>
        </w:rPr>
        <w:t xml:space="preserve"> :</w:t>
      </w:r>
      <w:proofErr w:type="gramEnd"/>
      <w:r w:rsidRPr="008B5D19">
        <w:rPr>
          <w:lang w:val="en-US"/>
        </w:rPr>
        <w:t xml:space="preserve"> </w:t>
      </w:r>
      <w:proofErr w:type="spellStart"/>
      <w:r w:rsidRPr="008B5D19">
        <w:rPr>
          <w:lang w:val="en-US"/>
        </w:rPr>
        <w:t>непосредственный</w:t>
      </w:r>
      <w:proofErr w:type="spellEnd"/>
      <w:r w:rsidRPr="008B5D19">
        <w:rPr>
          <w:lang w:val="en-US"/>
        </w:rPr>
        <w:t>.</w:t>
      </w:r>
    </w:p>
    <w:p w:rsidR="00C834F5" w:rsidRPr="00D63E85" w:rsidRDefault="00056276" w:rsidP="00D63E85">
      <w:pPr>
        <w:rPr>
          <w:lang w:val="en-US"/>
        </w:rPr>
      </w:pPr>
      <w:r>
        <w:rPr>
          <w:lang w:val="en-US"/>
        </w:rPr>
        <w:t>3</w:t>
      </w:r>
      <w:r w:rsidR="00CB64CF" w:rsidRPr="00CB64CF">
        <w:rPr>
          <w:lang w:val="en-US"/>
        </w:rPr>
        <w:t xml:space="preserve">. Nonlinearities and Noise in Idealized Baseband Amplifier Block. — </w:t>
      </w:r>
      <w:proofErr w:type="gramStart"/>
      <w:r w:rsidR="00CB64CF" w:rsidRPr="00CB64CF">
        <w:t>Текст</w:t>
      </w:r>
      <w:r w:rsidR="00CB64CF" w:rsidRPr="00CB64CF">
        <w:rPr>
          <w:lang w:val="en-US"/>
        </w:rPr>
        <w:t xml:space="preserve"> :</w:t>
      </w:r>
      <w:proofErr w:type="gramEnd"/>
      <w:r w:rsidR="00CB64CF" w:rsidRPr="00CB64CF">
        <w:rPr>
          <w:lang w:val="en-US"/>
        </w:rPr>
        <w:t xml:space="preserve"> </w:t>
      </w:r>
      <w:r w:rsidR="00CB64CF" w:rsidRPr="00CB64CF">
        <w:t>электронный</w:t>
      </w:r>
      <w:r w:rsidR="00CB64CF" w:rsidRPr="00CB64CF">
        <w:rPr>
          <w:lang w:val="en-US"/>
        </w:rPr>
        <w:t xml:space="preserve"> // </w:t>
      </w:r>
      <w:proofErr w:type="spellStart"/>
      <w:r w:rsidR="00CB64CF" w:rsidRPr="00CB64CF">
        <w:rPr>
          <w:lang w:val="en-US"/>
        </w:rPr>
        <w:t>mathworks</w:t>
      </w:r>
      <w:proofErr w:type="spellEnd"/>
      <w:r w:rsidR="00CB64CF" w:rsidRPr="00CB64CF">
        <w:rPr>
          <w:lang w:val="en-US"/>
        </w:rPr>
        <w:t xml:space="preserve"> : [</w:t>
      </w:r>
      <w:r w:rsidR="00CB64CF" w:rsidRPr="00CB64CF">
        <w:t>сайт</w:t>
      </w:r>
      <w:r w:rsidR="00CB64CF" w:rsidRPr="00CB64CF">
        <w:rPr>
          <w:lang w:val="en-US"/>
        </w:rPr>
        <w:t>]. — URL: https://www.mathworks.com/help/simrf/gs/noise-and-nonlinearities-in-idelaized-amplifier-and-mixer-blocks.html#mw_4e9fbda6-4fc8-455e-ad29-2f53dfa6184a (</w:t>
      </w:r>
      <w:r w:rsidR="00CB64CF" w:rsidRPr="00CB64CF">
        <w:t>дата</w:t>
      </w:r>
      <w:r w:rsidR="00CB64CF" w:rsidRPr="00CB64CF">
        <w:rPr>
          <w:lang w:val="en-US"/>
        </w:rPr>
        <w:t xml:space="preserve"> </w:t>
      </w:r>
      <w:r w:rsidR="00CB64CF" w:rsidRPr="00CB64CF">
        <w:t>обращения</w:t>
      </w:r>
      <w:r w:rsidR="00CB64CF" w:rsidRPr="00CB64CF">
        <w:rPr>
          <w:lang w:val="en-US"/>
        </w:rPr>
        <w:t xml:space="preserve">: </w:t>
      </w:r>
      <w:r w:rsidR="00CB64CF" w:rsidRPr="00C30C9F">
        <w:rPr>
          <w:lang w:val="en-US"/>
        </w:rPr>
        <w:t>5</w:t>
      </w:r>
      <w:r w:rsidR="00CB64CF" w:rsidRPr="00CB64CF">
        <w:rPr>
          <w:lang w:val="en-US"/>
        </w:rPr>
        <w:t>.10.2021).</w:t>
      </w:r>
    </w:p>
    <w:sectPr w:rsidR="00C834F5" w:rsidRPr="00D63E85" w:rsidSect="00EC5522">
      <w:pgSz w:w="8391" w:h="11906" w:code="11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43C58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BC3FDB"/>
    <w:multiLevelType w:val="hybridMultilevel"/>
    <w:tmpl w:val="5F66689A"/>
    <w:lvl w:ilvl="0" w:tplc="E528AE1E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3E50345E"/>
    <w:multiLevelType w:val="hybridMultilevel"/>
    <w:tmpl w:val="8F264858"/>
    <w:lvl w:ilvl="0" w:tplc="F2623EA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45A47270"/>
    <w:multiLevelType w:val="hybridMultilevel"/>
    <w:tmpl w:val="752A5864"/>
    <w:lvl w:ilvl="0" w:tplc="DEEE032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5B8418A8"/>
    <w:multiLevelType w:val="hybridMultilevel"/>
    <w:tmpl w:val="B958E62A"/>
    <w:lvl w:ilvl="0" w:tplc="2B607AC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13"/>
    <w:rsid w:val="0001325A"/>
    <w:rsid w:val="0001393B"/>
    <w:rsid w:val="000224D2"/>
    <w:rsid w:val="0002295F"/>
    <w:rsid w:val="00026369"/>
    <w:rsid w:val="000275E4"/>
    <w:rsid w:val="00027692"/>
    <w:rsid w:val="0003006F"/>
    <w:rsid w:val="000446F6"/>
    <w:rsid w:val="00054648"/>
    <w:rsid w:val="00056276"/>
    <w:rsid w:val="00061130"/>
    <w:rsid w:val="00063649"/>
    <w:rsid w:val="00063A7D"/>
    <w:rsid w:val="00071E67"/>
    <w:rsid w:val="00080687"/>
    <w:rsid w:val="000812DE"/>
    <w:rsid w:val="00084BEE"/>
    <w:rsid w:val="000A5CED"/>
    <w:rsid w:val="000B5635"/>
    <w:rsid w:val="000D3113"/>
    <w:rsid w:val="0011055F"/>
    <w:rsid w:val="001149B6"/>
    <w:rsid w:val="0011589F"/>
    <w:rsid w:val="00127706"/>
    <w:rsid w:val="00130DA9"/>
    <w:rsid w:val="00134546"/>
    <w:rsid w:val="0015002B"/>
    <w:rsid w:val="001513C4"/>
    <w:rsid w:val="00157D17"/>
    <w:rsid w:val="0019217D"/>
    <w:rsid w:val="00195EAC"/>
    <w:rsid w:val="001A2702"/>
    <w:rsid w:val="001A3A6A"/>
    <w:rsid w:val="001A4A25"/>
    <w:rsid w:val="001A6981"/>
    <w:rsid w:val="001B4446"/>
    <w:rsid w:val="001B467F"/>
    <w:rsid w:val="001B5A18"/>
    <w:rsid w:val="001E6142"/>
    <w:rsid w:val="001F40D9"/>
    <w:rsid w:val="0020713C"/>
    <w:rsid w:val="0021089E"/>
    <w:rsid w:val="002213D6"/>
    <w:rsid w:val="00225252"/>
    <w:rsid w:val="0023078F"/>
    <w:rsid w:val="00236190"/>
    <w:rsid w:val="00244342"/>
    <w:rsid w:val="00273F3C"/>
    <w:rsid w:val="0028583A"/>
    <w:rsid w:val="0029425A"/>
    <w:rsid w:val="00294BF3"/>
    <w:rsid w:val="00297155"/>
    <w:rsid w:val="002A0794"/>
    <w:rsid w:val="002A2C94"/>
    <w:rsid w:val="002A4609"/>
    <w:rsid w:val="002C054C"/>
    <w:rsid w:val="002D6391"/>
    <w:rsid w:val="0031064F"/>
    <w:rsid w:val="00322F31"/>
    <w:rsid w:val="00326182"/>
    <w:rsid w:val="00327DD0"/>
    <w:rsid w:val="003329BF"/>
    <w:rsid w:val="00350534"/>
    <w:rsid w:val="00353C99"/>
    <w:rsid w:val="003574B6"/>
    <w:rsid w:val="00386C56"/>
    <w:rsid w:val="003A0500"/>
    <w:rsid w:val="003B67E1"/>
    <w:rsid w:val="003B7B64"/>
    <w:rsid w:val="003D0755"/>
    <w:rsid w:val="003D1F4E"/>
    <w:rsid w:val="003F1844"/>
    <w:rsid w:val="003F29E8"/>
    <w:rsid w:val="003F5964"/>
    <w:rsid w:val="003F5E35"/>
    <w:rsid w:val="00400B40"/>
    <w:rsid w:val="00405F2A"/>
    <w:rsid w:val="004132C9"/>
    <w:rsid w:val="004225C0"/>
    <w:rsid w:val="00422866"/>
    <w:rsid w:val="0042783F"/>
    <w:rsid w:val="00444BD3"/>
    <w:rsid w:val="00464C35"/>
    <w:rsid w:val="004705C7"/>
    <w:rsid w:val="0047630A"/>
    <w:rsid w:val="00483911"/>
    <w:rsid w:val="0048569E"/>
    <w:rsid w:val="00485A8B"/>
    <w:rsid w:val="004A75C0"/>
    <w:rsid w:val="004A7961"/>
    <w:rsid w:val="004D5B18"/>
    <w:rsid w:val="004E68FD"/>
    <w:rsid w:val="004F04E5"/>
    <w:rsid w:val="004F06B3"/>
    <w:rsid w:val="00501A4E"/>
    <w:rsid w:val="005118E0"/>
    <w:rsid w:val="00521058"/>
    <w:rsid w:val="00544DEB"/>
    <w:rsid w:val="00553E38"/>
    <w:rsid w:val="0056033A"/>
    <w:rsid w:val="00564425"/>
    <w:rsid w:val="0057417A"/>
    <w:rsid w:val="00577921"/>
    <w:rsid w:val="00583A7B"/>
    <w:rsid w:val="005B40FD"/>
    <w:rsid w:val="005C10D0"/>
    <w:rsid w:val="005D14AE"/>
    <w:rsid w:val="005E27A3"/>
    <w:rsid w:val="005F622B"/>
    <w:rsid w:val="005F6769"/>
    <w:rsid w:val="0060244A"/>
    <w:rsid w:val="006025A0"/>
    <w:rsid w:val="0061293D"/>
    <w:rsid w:val="00623286"/>
    <w:rsid w:val="006268BB"/>
    <w:rsid w:val="006453CB"/>
    <w:rsid w:val="00647F6E"/>
    <w:rsid w:val="00665DC8"/>
    <w:rsid w:val="006728BA"/>
    <w:rsid w:val="00680264"/>
    <w:rsid w:val="006915FD"/>
    <w:rsid w:val="006959FB"/>
    <w:rsid w:val="00696414"/>
    <w:rsid w:val="006A0DEB"/>
    <w:rsid w:val="006A47BC"/>
    <w:rsid w:val="006A4C38"/>
    <w:rsid w:val="006A626C"/>
    <w:rsid w:val="006B13D4"/>
    <w:rsid w:val="006B642F"/>
    <w:rsid w:val="006C5948"/>
    <w:rsid w:val="006C6BD1"/>
    <w:rsid w:val="006F6825"/>
    <w:rsid w:val="006F72E7"/>
    <w:rsid w:val="00742865"/>
    <w:rsid w:val="00745DDD"/>
    <w:rsid w:val="00751E04"/>
    <w:rsid w:val="007630BE"/>
    <w:rsid w:val="00780184"/>
    <w:rsid w:val="00780D5E"/>
    <w:rsid w:val="007A00B4"/>
    <w:rsid w:val="007A13D3"/>
    <w:rsid w:val="007B246F"/>
    <w:rsid w:val="007C3A92"/>
    <w:rsid w:val="007C4471"/>
    <w:rsid w:val="007C6A50"/>
    <w:rsid w:val="007E001D"/>
    <w:rsid w:val="007E1108"/>
    <w:rsid w:val="007E7506"/>
    <w:rsid w:val="007F6BA3"/>
    <w:rsid w:val="007F7226"/>
    <w:rsid w:val="00800BCE"/>
    <w:rsid w:val="0080512E"/>
    <w:rsid w:val="008164A3"/>
    <w:rsid w:val="00837808"/>
    <w:rsid w:val="008547C4"/>
    <w:rsid w:val="00854C99"/>
    <w:rsid w:val="008554C2"/>
    <w:rsid w:val="008622EA"/>
    <w:rsid w:val="008700E8"/>
    <w:rsid w:val="00872BE3"/>
    <w:rsid w:val="00892627"/>
    <w:rsid w:val="008A7B0D"/>
    <w:rsid w:val="008B5D19"/>
    <w:rsid w:val="008C55CB"/>
    <w:rsid w:val="008D4315"/>
    <w:rsid w:val="008E1899"/>
    <w:rsid w:val="008F0B28"/>
    <w:rsid w:val="008F1DD8"/>
    <w:rsid w:val="008F2144"/>
    <w:rsid w:val="008F6142"/>
    <w:rsid w:val="00915396"/>
    <w:rsid w:val="00924CCA"/>
    <w:rsid w:val="00936D69"/>
    <w:rsid w:val="00936D84"/>
    <w:rsid w:val="00943C26"/>
    <w:rsid w:val="00944B37"/>
    <w:rsid w:val="00956B0B"/>
    <w:rsid w:val="00962D75"/>
    <w:rsid w:val="009703ED"/>
    <w:rsid w:val="00987706"/>
    <w:rsid w:val="009979B3"/>
    <w:rsid w:val="009A0B65"/>
    <w:rsid w:val="009A1A71"/>
    <w:rsid w:val="009A39A8"/>
    <w:rsid w:val="009A4C81"/>
    <w:rsid w:val="009A6138"/>
    <w:rsid w:val="009C36C4"/>
    <w:rsid w:val="009C37C1"/>
    <w:rsid w:val="009C387F"/>
    <w:rsid w:val="009C485A"/>
    <w:rsid w:val="009C6C99"/>
    <w:rsid w:val="009D2247"/>
    <w:rsid w:val="009E509C"/>
    <w:rsid w:val="009F3F27"/>
    <w:rsid w:val="009F75DE"/>
    <w:rsid w:val="00A1515A"/>
    <w:rsid w:val="00A1776A"/>
    <w:rsid w:val="00A22140"/>
    <w:rsid w:val="00A326D1"/>
    <w:rsid w:val="00A43E85"/>
    <w:rsid w:val="00A51F9C"/>
    <w:rsid w:val="00A5259B"/>
    <w:rsid w:val="00A603EC"/>
    <w:rsid w:val="00A60F2E"/>
    <w:rsid w:val="00A63839"/>
    <w:rsid w:val="00A67504"/>
    <w:rsid w:val="00A77F00"/>
    <w:rsid w:val="00A85433"/>
    <w:rsid w:val="00A95BE7"/>
    <w:rsid w:val="00AA7DEC"/>
    <w:rsid w:val="00AC55C8"/>
    <w:rsid w:val="00AC6AD3"/>
    <w:rsid w:val="00AD4925"/>
    <w:rsid w:val="00AE3139"/>
    <w:rsid w:val="00AF5982"/>
    <w:rsid w:val="00AF7A7F"/>
    <w:rsid w:val="00B0293B"/>
    <w:rsid w:val="00B13436"/>
    <w:rsid w:val="00B1707E"/>
    <w:rsid w:val="00B26503"/>
    <w:rsid w:val="00B35BD0"/>
    <w:rsid w:val="00B375BE"/>
    <w:rsid w:val="00B41796"/>
    <w:rsid w:val="00B9317E"/>
    <w:rsid w:val="00B93234"/>
    <w:rsid w:val="00BA2019"/>
    <w:rsid w:val="00BB01A0"/>
    <w:rsid w:val="00BC1C0B"/>
    <w:rsid w:val="00BC3158"/>
    <w:rsid w:val="00BE1B89"/>
    <w:rsid w:val="00C071C8"/>
    <w:rsid w:val="00C17596"/>
    <w:rsid w:val="00C21170"/>
    <w:rsid w:val="00C25D4F"/>
    <w:rsid w:val="00C30C9F"/>
    <w:rsid w:val="00C409BF"/>
    <w:rsid w:val="00C47374"/>
    <w:rsid w:val="00C50B71"/>
    <w:rsid w:val="00C576B2"/>
    <w:rsid w:val="00C62C6E"/>
    <w:rsid w:val="00C73F9D"/>
    <w:rsid w:val="00C834F5"/>
    <w:rsid w:val="00C846C1"/>
    <w:rsid w:val="00C86634"/>
    <w:rsid w:val="00C97713"/>
    <w:rsid w:val="00C97AC9"/>
    <w:rsid w:val="00CA2E49"/>
    <w:rsid w:val="00CB1C73"/>
    <w:rsid w:val="00CB64CF"/>
    <w:rsid w:val="00CD0317"/>
    <w:rsid w:val="00CD38EF"/>
    <w:rsid w:val="00CE6540"/>
    <w:rsid w:val="00D00466"/>
    <w:rsid w:val="00D046C5"/>
    <w:rsid w:val="00D10C5E"/>
    <w:rsid w:val="00D13234"/>
    <w:rsid w:val="00D13305"/>
    <w:rsid w:val="00D31364"/>
    <w:rsid w:val="00D3731A"/>
    <w:rsid w:val="00D5070A"/>
    <w:rsid w:val="00D612AC"/>
    <w:rsid w:val="00D63E85"/>
    <w:rsid w:val="00DA1CDA"/>
    <w:rsid w:val="00DA1E96"/>
    <w:rsid w:val="00DA480B"/>
    <w:rsid w:val="00DD17DB"/>
    <w:rsid w:val="00DD3748"/>
    <w:rsid w:val="00DE27E3"/>
    <w:rsid w:val="00DF740E"/>
    <w:rsid w:val="00E06298"/>
    <w:rsid w:val="00E104F5"/>
    <w:rsid w:val="00E30B1E"/>
    <w:rsid w:val="00E326CB"/>
    <w:rsid w:val="00E43833"/>
    <w:rsid w:val="00E538E0"/>
    <w:rsid w:val="00E80312"/>
    <w:rsid w:val="00E86954"/>
    <w:rsid w:val="00EA1C73"/>
    <w:rsid w:val="00EA4ECE"/>
    <w:rsid w:val="00EB6796"/>
    <w:rsid w:val="00EC5522"/>
    <w:rsid w:val="00ED0F3B"/>
    <w:rsid w:val="00ED4AF0"/>
    <w:rsid w:val="00EE0A1A"/>
    <w:rsid w:val="00EF282A"/>
    <w:rsid w:val="00F04FFC"/>
    <w:rsid w:val="00F1112A"/>
    <w:rsid w:val="00F126BA"/>
    <w:rsid w:val="00F132DA"/>
    <w:rsid w:val="00F1536B"/>
    <w:rsid w:val="00F23944"/>
    <w:rsid w:val="00F265B3"/>
    <w:rsid w:val="00F27A91"/>
    <w:rsid w:val="00F32BD9"/>
    <w:rsid w:val="00F518BD"/>
    <w:rsid w:val="00F65D86"/>
    <w:rsid w:val="00F67DF7"/>
    <w:rsid w:val="00F70660"/>
    <w:rsid w:val="00F924F8"/>
    <w:rsid w:val="00F9638D"/>
    <w:rsid w:val="00FA1D76"/>
    <w:rsid w:val="00FC2D96"/>
    <w:rsid w:val="00FD18C4"/>
    <w:rsid w:val="00FF23F2"/>
    <w:rsid w:val="00FF3169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7921"/>
    <w:pPr>
      <w:widowControl w:val="0"/>
      <w:spacing w:after="0" w:line="240" w:lineRule="auto"/>
      <w:ind w:firstLine="397"/>
      <w:jc w:val="both"/>
    </w:pPr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F1844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1844"/>
    <w:rPr>
      <w:color w:val="605E5C"/>
      <w:shd w:val="clear" w:color="auto" w:fill="E1DFDD"/>
    </w:rPr>
  </w:style>
  <w:style w:type="paragraph" w:styleId="a5">
    <w:name w:val="List Paragraph"/>
    <w:basedOn w:val="a0"/>
    <w:uiPriority w:val="34"/>
    <w:qFormat/>
    <w:rsid w:val="003F1844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224D2"/>
    <w:pPr>
      <w:numPr>
        <w:numId w:val="5"/>
      </w:numPr>
      <w:contextualSpacing/>
    </w:pPr>
  </w:style>
  <w:style w:type="character" w:styleId="a6">
    <w:name w:val="Placeholder Text"/>
    <w:basedOn w:val="a1"/>
    <w:uiPriority w:val="99"/>
    <w:semiHidden/>
    <w:rsid w:val="007630BE"/>
    <w:rPr>
      <w:color w:val="808080"/>
    </w:rPr>
  </w:style>
  <w:style w:type="paragraph" w:styleId="a7">
    <w:name w:val="Balloon Text"/>
    <w:basedOn w:val="a0"/>
    <w:link w:val="a8"/>
    <w:uiPriority w:val="99"/>
    <w:semiHidden/>
    <w:unhideWhenUsed/>
    <w:rsid w:val="00EC552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EC55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7921"/>
    <w:pPr>
      <w:widowControl w:val="0"/>
      <w:spacing w:after="0" w:line="240" w:lineRule="auto"/>
      <w:ind w:firstLine="397"/>
      <w:jc w:val="both"/>
    </w:pPr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F1844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1844"/>
    <w:rPr>
      <w:color w:val="605E5C"/>
      <w:shd w:val="clear" w:color="auto" w:fill="E1DFDD"/>
    </w:rPr>
  </w:style>
  <w:style w:type="paragraph" w:styleId="a5">
    <w:name w:val="List Paragraph"/>
    <w:basedOn w:val="a0"/>
    <w:uiPriority w:val="34"/>
    <w:qFormat/>
    <w:rsid w:val="003F1844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224D2"/>
    <w:pPr>
      <w:numPr>
        <w:numId w:val="5"/>
      </w:numPr>
      <w:contextualSpacing/>
    </w:pPr>
  </w:style>
  <w:style w:type="character" w:styleId="a6">
    <w:name w:val="Placeholder Text"/>
    <w:basedOn w:val="a1"/>
    <w:uiPriority w:val="99"/>
    <w:semiHidden/>
    <w:rsid w:val="007630BE"/>
    <w:rPr>
      <w:color w:val="808080"/>
    </w:rPr>
  </w:style>
  <w:style w:type="paragraph" w:styleId="a7">
    <w:name w:val="Balloon Text"/>
    <w:basedOn w:val="a0"/>
    <w:link w:val="a8"/>
    <w:uiPriority w:val="99"/>
    <w:semiHidden/>
    <w:unhideWhenUsed/>
    <w:rsid w:val="00EC552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EC5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kutov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nantonenko59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ntonenko59@gmail.com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erkut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Ksenia</cp:lastModifiedBy>
  <cp:revision>67</cp:revision>
  <cp:lastPrinted>2021-10-11T10:48:00Z</cp:lastPrinted>
  <dcterms:created xsi:type="dcterms:W3CDTF">2021-10-11T06:04:00Z</dcterms:created>
  <dcterms:modified xsi:type="dcterms:W3CDTF">2021-10-13T19:15:00Z</dcterms:modified>
</cp:coreProperties>
</file>