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FC" w:rsidRPr="00E25AE7" w:rsidRDefault="003A316E" w:rsidP="001F386E">
      <w:pPr>
        <w:ind w:firstLine="0"/>
        <w:jc w:val="left"/>
        <w:rPr>
          <w:color w:val="FFFFFF" w:themeColor="background1"/>
          <w:sz w:val="18"/>
          <w:szCs w:val="18"/>
          <w:lang w:val="ru-RU"/>
        </w:rPr>
      </w:pPr>
      <w:r w:rsidRPr="00E25AE7">
        <w:rPr>
          <w:color w:val="FFFFFF" w:themeColor="background1"/>
          <w:sz w:val="18"/>
          <w:szCs w:val="18"/>
        </w:rPr>
        <w:t>DOI</w:t>
      </w:r>
      <w:r w:rsidR="008508FC" w:rsidRPr="00E25AE7">
        <w:rPr>
          <w:color w:val="FFFFFF" w:themeColor="background1"/>
          <w:sz w:val="18"/>
          <w:szCs w:val="18"/>
          <w:lang w:val="ru-RU"/>
        </w:rPr>
        <w:t>:</w:t>
      </w:r>
    </w:p>
    <w:p w:rsidR="00DA0C9C" w:rsidRPr="00E25AE7" w:rsidRDefault="008508FC" w:rsidP="00E25AE7">
      <w:pPr>
        <w:pStyle w:val="aa"/>
        <w:spacing w:after="100"/>
        <w:rPr>
          <w:sz w:val="18"/>
          <w:szCs w:val="18"/>
          <w:lang w:val="ru-RU"/>
        </w:rPr>
      </w:pPr>
      <w:r w:rsidRPr="00D97BCC">
        <w:rPr>
          <w:sz w:val="18"/>
          <w:szCs w:val="18"/>
          <w:lang w:val="ru-RU"/>
        </w:rPr>
        <w:t>УДК</w:t>
      </w:r>
      <w:r w:rsidR="001F386E" w:rsidRPr="00D97BCC">
        <w:rPr>
          <w:sz w:val="18"/>
          <w:szCs w:val="18"/>
          <w:lang w:val="ru-RU"/>
        </w:rPr>
        <w:t xml:space="preserve"> </w:t>
      </w:r>
      <w:r w:rsidR="00D97BCC" w:rsidRPr="00D97BCC">
        <w:rPr>
          <w:sz w:val="18"/>
          <w:szCs w:val="18"/>
          <w:lang w:val="ru-RU"/>
        </w:rPr>
        <w:t>681.518.9; 621.384.3</w:t>
      </w:r>
    </w:p>
    <w:p w:rsidR="00DA0C9C" w:rsidRPr="00E25AE7" w:rsidRDefault="00753B8E" w:rsidP="00085F61">
      <w:pPr>
        <w:tabs>
          <w:tab w:val="left" w:pos="3425"/>
        </w:tabs>
        <w:ind w:firstLine="0"/>
        <w:jc w:val="center"/>
        <w:rPr>
          <w:lang w:val="ru-RU"/>
        </w:rPr>
      </w:pPr>
      <w:r w:rsidRPr="00753B8E">
        <w:rPr>
          <w:lang w:val="ru-RU"/>
        </w:rPr>
        <w:t>С. С. Анцыферов</w:t>
      </w:r>
      <w:r w:rsidR="00F2125B">
        <w:rPr>
          <w:lang w:val="ru-RU"/>
        </w:rPr>
        <w:t xml:space="preserve">, </w:t>
      </w:r>
      <w:r w:rsidR="00F2125B" w:rsidRPr="00F2125B">
        <w:rPr>
          <w:lang w:val="ru-RU"/>
        </w:rPr>
        <w:t>К. Н. Фазилова</w:t>
      </w:r>
    </w:p>
    <w:p w:rsidR="00DA0C9C" w:rsidRPr="00E25AE7" w:rsidRDefault="00E25AE7" w:rsidP="00085F61">
      <w:pPr>
        <w:spacing w:after="100"/>
        <w:ind w:firstLine="0"/>
        <w:jc w:val="center"/>
        <w:rPr>
          <w:lang w:val="ru-RU"/>
        </w:rPr>
      </w:pPr>
      <w:r>
        <w:rPr>
          <w:lang w:val="ru-RU"/>
        </w:rPr>
        <w:t>(</w:t>
      </w:r>
      <w:r w:rsidR="00490E2A">
        <w:rPr>
          <w:lang w:val="ru-RU"/>
        </w:rPr>
        <w:t xml:space="preserve">г. </w:t>
      </w:r>
      <w:r w:rsidR="00F43BD8" w:rsidRPr="000377E8">
        <w:rPr>
          <w:lang w:val="ru-RU"/>
        </w:rPr>
        <w:t>Москва</w:t>
      </w:r>
      <w:r w:rsidR="00490E2A">
        <w:rPr>
          <w:lang w:val="ru-RU"/>
        </w:rPr>
        <w:t xml:space="preserve">, </w:t>
      </w:r>
      <w:r w:rsidR="00316300" w:rsidRPr="000377E8">
        <w:rPr>
          <w:lang w:val="ru-RU"/>
        </w:rPr>
        <w:t>МИРЭА – Российский технологический университет</w:t>
      </w:r>
      <w:r>
        <w:rPr>
          <w:rFonts w:cs="Times New Roman"/>
          <w:lang w:val="ru-RU"/>
        </w:rPr>
        <w:t>)</w:t>
      </w:r>
    </w:p>
    <w:p w:rsidR="0009125A" w:rsidRDefault="00F2125B" w:rsidP="0009125A">
      <w:pPr>
        <w:spacing w:before="100" w:after="100"/>
        <w:ind w:firstLine="0"/>
        <w:jc w:val="center"/>
        <w:rPr>
          <w:b/>
          <w:caps/>
          <w:lang w:val="ru-RU"/>
        </w:rPr>
      </w:pPr>
      <w:r>
        <w:rPr>
          <w:b/>
          <w:caps/>
          <w:lang w:val="ru-RU"/>
        </w:rPr>
        <w:t>идентификация состояний информационно-измерительной системы</w:t>
      </w:r>
      <w:r w:rsidR="0009125A" w:rsidRPr="0009125A">
        <w:t xml:space="preserve"> </w:t>
      </w:r>
      <w:r w:rsidR="0009125A" w:rsidRPr="0009125A">
        <w:rPr>
          <w:b/>
          <w:caps/>
          <w:lang w:val="ru-RU"/>
        </w:rPr>
        <w:t xml:space="preserve">управления процессами калибровки эталонных мер нанометрии </w:t>
      </w:r>
    </w:p>
    <w:p w:rsidR="000377E8" w:rsidRPr="004A30FB" w:rsidRDefault="000377E8" w:rsidP="00085F61">
      <w:pPr>
        <w:spacing w:before="100" w:after="100"/>
        <w:ind w:firstLine="0"/>
        <w:jc w:val="center"/>
        <w:rPr>
          <w:b/>
          <w:caps/>
        </w:rPr>
      </w:pPr>
    </w:p>
    <w:p w:rsidR="00DA0C9C" w:rsidRPr="009A2058" w:rsidRDefault="00D97BCC" w:rsidP="00085F61">
      <w:pPr>
        <w:spacing w:after="100"/>
        <w:ind w:firstLine="0"/>
        <w:jc w:val="center"/>
        <w:rPr>
          <w:rFonts w:eastAsia="Times New Roman" w:cs="Times New Roman"/>
          <w:caps/>
          <w:szCs w:val="20"/>
          <w:lang w:val="ru-RU" w:eastAsia="ru-RU" w:bidi="ar-SA"/>
        </w:rPr>
      </w:pPr>
      <w:r w:rsidRPr="00D97BCC">
        <w:rPr>
          <w:rFonts w:eastAsia="Times New Roman" w:cs="Times New Roman"/>
          <w:caps/>
          <w:szCs w:val="20"/>
          <w:lang w:val="en" w:eastAsia="ru-RU" w:bidi="ar-SA"/>
        </w:rPr>
        <w:t>COGNITIVE</w:t>
      </w:r>
      <w:r w:rsidRPr="009A2058">
        <w:rPr>
          <w:rFonts w:eastAsia="Times New Roman" w:cs="Times New Roman"/>
          <w:caps/>
          <w:szCs w:val="20"/>
          <w:lang w:val="ru-RU" w:eastAsia="ru-RU" w:bidi="ar-SA"/>
        </w:rPr>
        <w:t xml:space="preserve"> </w:t>
      </w:r>
      <w:r w:rsidRPr="00D97BCC">
        <w:rPr>
          <w:rFonts w:eastAsia="Times New Roman" w:cs="Times New Roman"/>
          <w:caps/>
          <w:szCs w:val="20"/>
          <w:lang w:val="en" w:eastAsia="ru-RU" w:bidi="ar-SA"/>
        </w:rPr>
        <w:t>SYSTEMS</w:t>
      </w:r>
      <w:r w:rsidRPr="009A2058">
        <w:rPr>
          <w:rFonts w:eastAsia="Times New Roman" w:cs="Times New Roman"/>
          <w:caps/>
          <w:szCs w:val="20"/>
          <w:lang w:val="ru-RU" w:eastAsia="ru-RU" w:bidi="ar-SA"/>
        </w:rPr>
        <w:t xml:space="preserve"> </w:t>
      </w:r>
      <w:r w:rsidRPr="00D97BCC">
        <w:rPr>
          <w:rFonts w:eastAsia="Times New Roman" w:cs="Times New Roman"/>
          <w:caps/>
          <w:szCs w:val="20"/>
          <w:lang w:val="en" w:eastAsia="ru-RU" w:bidi="ar-SA"/>
        </w:rPr>
        <w:t>FUNCTIONING</w:t>
      </w:r>
      <w:r w:rsidRPr="009A2058">
        <w:rPr>
          <w:rFonts w:eastAsia="Times New Roman" w:cs="Times New Roman"/>
          <w:caps/>
          <w:szCs w:val="20"/>
          <w:lang w:val="ru-RU" w:eastAsia="ru-RU" w:bidi="ar-SA"/>
        </w:rPr>
        <w:t xml:space="preserve"> </w:t>
      </w:r>
      <w:r w:rsidRPr="00D97BCC">
        <w:rPr>
          <w:rFonts w:eastAsia="Times New Roman" w:cs="Times New Roman"/>
          <w:caps/>
          <w:szCs w:val="20"/>
          <w:lang w:eastAsia="ru-RU" w:bidi="ar-SA"/>
        </w:rPr>
        <w:t>DYNAMICS</w:t>
      </w:r>
      <w:r w:rsidRPr="009A2058">
        <w:rPr>
          <w:lang w:val="ru-RU"/>
        </w:rPr>
        <w:t xml:space="preserve"> </w:t>
      </w:r>
      <w:r w:rsidRPr="00D97BCC">
        <w:rPr>
          <w:rFonts w:eastAsia="Times New Roman" w:cs="Times New Roman"/>
          <w:caps/>
          <w:szCs w:val="20"/>
          <w:lang w:eastAsia="ru-RU" w:bidi="ar-SA"/>
        </w:rPr>
        <w:t>MODEL</w:t>
      </w:r>
    </w:p>
    <w:p w:rsidR="00316300" w:rsidRPr="00625F39" w:rsidRDefault="004A30FB" w:rsidP="00085F61">
      <w:pPr>
        <w:ind w:firstLine="397"/>
        <w:rPr>
          <w:i/>
          <w:lang w:val="ru-RU"/>
        </w:rPr>
      </w:pPr>
      <w:r w:rsidRPr="004A30FB">
        <w:rPr>
          <w:i/>
          <w:lang w:val="ru-RU"/>
        </w:rPr>
        <w:t xml:space="preserve">Контроль функционирования системы управления процессами калибровки эталонных мер </w:t>
      </w:r>
      <w:proofErr w:type="spellStart"/>
      <w:r w:rsidRPr="004A30FB">
        <w:rPr>
          <w:i/>
          <w:lang w:val="ru-RU"/>
        </w:rPr>
        <w:t>нанометрии</w:t>
      </w:r>
      <w:proofErr w:type="spellEnd"/>
      <w:r w:rsidRPr="004A30FB">
        <w:rPr>
          <w:i/>
          <w:lang w:val="ru-RU"/>
        </w:rPr>
        <w:t xml:space="preserve"> осуществляется на основании ранее разработанной методологии, включающей в себя построение фазового пространства функционирования системы, построение допустимых границ области функционирования, определение текущего состояния системы</w:t>
      </w:r>
      <w:r w:rsidR="00E44531" w:rsidRPr="00E44531">
        <w:rPr>
          <w:i/>
          <w:lang w:val="ru-RU"/>
        </w:rPr>
        <w:t>.</w:t>
      </w:r>
    </w:p>
    <w:p w:rsidR="000377E8" w:rsidRPr="00585763" w:rsidRDefault="004A30FB" w:rsidP="00085F61">
      <w:pPr>
        <w:ind w:firstLine="397"/>
        <w:rPr>
          <w:rFonts w:eastAsia="Times New Roman" w:cs="Times New Roman"/>
          <w:i/>
          <w:szCs w:val="20"/>
          <w:highlight w:val="yellow"/>
          <w:lang w:eastAsia="ru-RU" w:bidi="ar-SA"/>
        </w:rPr>
      </w:pPr>
      <w:r w:rsidRPr="004A30FB">
        <w:rPr>
          <w:rFonts w:eastAsia="Times New Roman" w:cs="Times New Roman"/>
          <w:i/>
          <w:szCs w:val="20"/>
          <w:lang w:val="en" w:eastAsia="ru-RU" w:bidi="ar-SA"/>
        </w:rPr>
        <w:t xml:space="preserve">Monitoring of the functioning of the control system for the calibration of </w:t>
      </w:r>
      <w:proofErr w:type="spellStart"/>
      <w:r w:rsidRPr="004A30FB">
        <w:rPr>
          <w:rFonts w:eastAsia="Times New Roman" w:cs="Times New Roman"/>
          <w:i/>
          <w:szCs w:val="20"/>
          <w:lang w:val="en" w:eastAsia="ru-RU" w:bidi="ar-SA"/>
        </w:rPr>
        <w:t>nanometry</w:t>
      </w:r>
      <w:proofErr w:type="spellEnd"/>
      <w:r w:rsidRPr="004A30FB">
        <w:rPr>
          <w:rFonts w:eastAsia="Times New Roman" w:cs="Times New Roman"/>
          <w:i/>
          <w:szCs w:val="20"/>
          <w:lang w:val="en" w:eastAsia="ru-RU" w:bidi="ar-SA"/>
        </w:rPr>
        <w:t xml:space="preserve"> reference measures is carried out on the basis of a previously developed methodology, which includes the construction of the phase space of the system functioning, the construction of acceptable boundaries of the functioning area, and the determination of the current state of the system</w:t>
      </w:r>
      <w:r w:rsidR="00585763" w:rsidRPr="00585763">
        <w:rPr>
          <w:rFonts w:eastAsia="Times New Roman" w:cs="Times New Roman"/>
          <w:i/>
          <w:szCs w:val="20"/>
          <w:lang w:val="en" w:eastAsia="ru-RU" w:bidi="ar-SA"/>
        </w:rPr>
        <w:t>.</w:t>
      </w:r>
    </w:p>
    <w:p w:rsidR="002B3F32" w:rsidRPr="00625F39" w:rsidRDefault="002B3F32" w:rsidP="00085F61">
      <w:pPr>
        <w:ind w:firstLine="397"/>
        <w:rPr>
          <w:i/>
          <w:lang w:val="ru-RU"/>
        </w:rPr>
      </w:pPr>
      <w:r w:rsidRPr="00625F39">
        <w:rPr>
          <w:i/>
          <w:lang w:val="ru-RU"/>
        </w:rPr>
        <w:t xml:space="preserve">Ключевые слова: </w:t>
      </w:r>
      <w:r w:rsidR="004A30FB" w:rsidRPr="004A30FB">
        <w:rPr>
          <w:i/>
          <w:lang w:val="ru-RU"/>
        </w:rPr>
        <w:t>контроль функционирования системы, аппроксимация, когнитивная модель, технологический процесс</w:t>
      </w:r>
      <w:r w:rsidRPr="00625F39">
        <w:rPr>
          <w:i/>
          <w:lang w:val="ru-RU"/>
        </w:rPr>
        <w:t>.</w:t>
      </w:r>
    </w:p>
    <w:p w:rsidR="000377E8" w:rsidRPr="000377E8" w:rsidRDefault="00E25AE7" w:rsidP="00085F61">
      <w:pPr>
        <w:ind w:firstLine="397"/>
        <w:jc w:val="left"/>
        <w:rPr>
          <w:rFonts w:eastAsia="Times New Roman" w:cs="Times New Roman"/>
          <w:i/>
          <w:szCs w:val="20"/>
          <w:lang w:eastAsia="ru-RU" w:bidi="ar-SA"/>
        </w:rPr>
      </w:pPr>
      <w:r w:rsidRPr="00625F39">
        <w:rPr>
          <w:rFonts w:eastAsia="Times New Roman" w:cs="Times New Roman"/>
          <w:i/>
          <w:szCs w:val="20"/>
          <w:lang w:val="en" w:eastAsia="ru-RU" w:bidi="ar-SA"/>
        </w:rPr>
        <w:t>Key</w:t>
      </w:r>
      <w:r w:rsidR="000377E8" w:rsidRPr="00625F39">
        <w:rPr>
          <w:rFonts w:eastAsia="Times New Roman" w:cs="Times New Roman"/>
          <w:i/>
          <w:szCs w:val="20"/>
          <w:lang w:val="en" w:eastAsia="ru-RU" w:bidi="ar-SA"/>
        </w:rPr>
        <w:t xml:space="preserve">words: </w:t>
      </w:r>
      <w:r w:rsidR="004A30FB" w:rsidRPr="004A30FB">
        <w:rPr>
          <w:rFonts w:eastAsia="Times New Roman" w:cs="Times New Roman"/>
          <w:i/>
          <w:szCs w:val="20"/>
          <w:lang w:eastAsia="ru-RU" w:bidi="ar-SA"/>
        </w:rPr>
        <w:t>system functioning control, approximation, cognitive model, technological process</w:t>
      </w:r>
      <w:r w:rsidR="000377E8" w:rsidRPr="00625F39">
        <w:rPr>
          <w:rFonts w:eastAsia="Times New Roman" w:cs="Times New Roman"/>
          <w:i/>
          <w:szCs w:val="20"/>
          <w:lang w:val="en" w:eastAsia="ru-RU" w:bidi="ar-SA"/>
        </w:rPr>
        <w:t>.</w:t>
      </w:r>
      <w:r w:rsidR="000377E8" w:rsidRPr="000377E8">
        <w:rPr>
          <w:rFonts w:eastAsia="Times New Roman" w:cs="Times New Roman"/>
          <w:i/>
          <w:szCs w:val="20"/>
          <w:lang w:eastAsia="ru-RU" w:bidi="ar-SA"/>
        </w:rPr>
        <w:t xml:space="preserve"> </w:t>
      </w:r>
    </w:p>
    <w:p w:rsidR="00B11DD8" w:rsidRPr="000377E8" w:rsidRDefault="00B11DD8" w:rsidP="00085F61">
      <w:pPr>
        <w:ind w:firstLine="397"/>
      </w:pPr>
    </w:p>
    <w:p w:rsidR="004A30FB" w:rsidRDefault="004A30FB" w:rsidP="001017E3">
      <w:pPr>
        <w:ind w:firstLine="397"/>
        <w:rPr>
          <w:lang w:val="ru-RU"/>
        </w:rPr>
      </w:pPr>
      <w:r w:rsidRPr="004A30FB">
        <w:rPr>
          <w:lang w:val="ru-RU"/>
        </w:rPr>
        <w:t xml:space="preserve">Для наблюдения и измерения параметров </w:t>
      </w:r>
      <w:proofErr w:type="spellStart"/>
      <w:r w:rsidRPr="004A30FB">
        <w:rPr>
          <w:lang w:val="ru-RU"/>
        </w:rPr>
        <w:t>наноструктурированных</w:t>
      </w:r>
      <w:proofErr w:type="spellEnd"/>
      <w:r w:rsidRPr="004A30FB">
        <w:rPr>
          <w:lang w:val="ru-RU"/>
        </w:rPr>
        <w:t xml:space="preserve"> объектов широко используются системы зондовой </w:t>
      </w:r>
      <w:proofErr w:type="spellStart"/>
      <w:r w:rsidRPr="004A30FB">
        <w:rPr>
          <w:lang w:val="ru-RU"/>
        </w:rPr>
        <w:t>нанометрии</w:t>
      </w:r>
      <w:proofErr w:type="spellEnd"/>
      <w:r w:rsidRPr="004A30FB">
        <w:rPr>
          <w:lang w:val="ru-RU"/>
        </w:rPr>
        <w:t xml:space="preserve">. Системы зондовой </w:t>
      </w:r>
      <w:proofErr w:type="spellStart"/>
      <w:r w:rsidRPr="004A30FB">
        <w:rPr>
          <w:lang w:val="ru-RU"/>
        </w:rPr>
        <w:t>нанометрии</w:t>
      </w:r>
      <w:proofErr w:type="spellEnd"/>
      <w:r w:rsidRPr="004A30FB">
        <w:rPr>
          <w:lang w:val="ru-RU"/>
        </w:rPr>
        <w:t xml:space="preserve"> выполняют функции не только наблюдения, но и измерения параметров </w:t>
      </w:r>
      <w:proofErr w:type="spellStart"/>
      <w:r w:rsidRPr="004A30FB">
        <w:rPr>
          <w:lang w:val="ru-RU"/>
        </w:rPr>
        <w:t>наноструктурированных</w:t>
      </w:r>
      <w:proofErr w:type="spellEnd"/>
      <w:r w:rsidRPr="004A30FB">
        <w:rPr>
          <w:lang w:val="ru-RU"/>
        </w:rPr>
        <w:t xml:space="preserve"> объектов. В силу этого, они нуждаются в соответствующем метрологическом обеспечении и прежде всего в методах и технических средствах калибровки эталонных мер. Следует отметить, что качество существующих систем калибровки эталонных мер</w:t>
      </w:r>
      <w:r w:rsidR="00100840">
        <w:rPr>
          <w:lang w:val="ru-RU"/>
        </w:rPr>
        <w:t xml:space="preserve"> </w:t>
      </w:r>
      <w:bookmarkStart w:id="0" w:name="_GoBack"/>
      <w:bookmarkEnd w:id="0"/>
      <w:r w:rsidR="00100840" w:rsidRPr="00100840">
        <w:rPr>
          <w:lang w:val="ru-RU"/>
        </w:rPr>
        <w:t>[1]</w:t>
      </w:r>
      <w:r w:rsidRPr="004A30FB">
        <w:rPr>
          <w:lang w:val="ru-RU"/>
        </w:rPr>
        <w:t xml:space="preserve"> необходимо постоянно контролировать, что гарантирует, в свою очередь, достижение необходимых показателей точности</w:t>
      </w:r>
      <w:r w:rsidR="00A55AB6">
        <w:rPr>
          <w:lang w:val="ru-RU"/>
        </w:rPr>
        <w:t>.</w:t>
      </w:r>
    </w:p>
    <w:p w:rsidR="004A30FB" w:rsidRPr="004A30FB" w:rsidRDefault="004A30FB" w:rsidP="004A30FB">
      <w:pPr>
        <w:ind w:firstLine="397"/>
        <w:rPr>
          <w:lang w:val="ru-RU"/>
        </w:rPr>
      </w:pPr>
      <w:r w:rsidRPr="004A30FB">
        <w:rPr>
          <w:lang w:val="ru-RU"/>
        </w:rPr>
        <w:t>Контроль функционирования связан, согласно ра</w:t>
      </w:r>
      <w:r w:rsidR="00A55AB6">
        <w:rPr>
          <w:lang w:val="ru-RU"/>
        </w:rPr>
        <w:t>нее разработанной методологии [2</w:t>
      </w:r>
      <w:r w:rsidRPr="004A30FB">
        <w:rPr>
          <w:lang w:val="ru-RU"/>
        </w:rPr>
        <w:t>-3], с выполнением таких операций, как установление диапазона допустимых значений вероятностей эффективности функционирования структурных элементов (СЭ) системы, построение фазовой диаграммы функционирования системы и определение допустимых границ области функционирования.</w:t>
      </w:r>
    </w:p>
    <w:p w:rsidR="004A30FB" w:rsidRPr="004A30FB" w:rsidRDefault="004A30FB" w:rsidP="004A30FB">
      <w:pPr>
        <w:ind w:firstLine="397"/>
        <w:rPr>
          <w:lang w:val="ru-RU"/>
        </w:rPr>
      </w:pPr>
      <w:r>
        <w:rPr>
          <w:lang w:val="ru-RU"/>
        </w:rPr>
        <w:t>По положе</w:t>
      </w:r>
      <w:r w:rsidRPr="004A30FB">
        <w:rPr>
          <w:lang w:val="ru-RU"/>
        </w:rPr>
        <w:t>нию точек в фазовом пространстве может ос</w:t>
      </w:r>
      <w:r>
        <w:rPr>
          <w:lang w:val="ru-RU"/>
        </w:rPr>
        <w:t>уществляться контроль функционирова</w:t>
      </w:r>
      <w:r w:rsidRPr="004A30FB">
        <w:rPr>
          <w:lang w:val="ru-RU"/>
        </w:rPr>
        <w:t xml:space="preserve">ния системы. В случае «выхода» той или иной точки </w:t>
      </w:r>
      <w:r w:rsidRPr="004A30FB">
        <w:rPr>
          <w:lang w:val="ru-RU"/>
        </w:rPr>
        <w:lastRenderedPageBreak/>
        <w:t>за пределы установленных границ области принимаются соответствующие решения о коррекции тех или иных параметров технологических процессов.</w:t>
      </w:r>
    </w:p>
    <w:p w:rsidR="004A30FB" w:rsidRDefault="004A30FB" w:rsidP="004A30FB">
      <w:pPr>
        <w:ind w:firstLine="397"/>
        <w:rPr>
          <w:lang w:val="ru-RU"/>
        </w:rPr>
      </w:pPr>
      <w:r w:rsidRPr="004A30FB">
        <w:rPr>
          <w:lang w:val="ru-RU"/>
        </w:rPr>
        <w:t>Согласно разработанной методологии система аппроксимируется когнитивной моделью (рис. 1).</w:t>
      </w:r>
    </w:p>
    <w:p w:rsidR="004A30FB" w:rsidRDefault="004A30FB" w:rsidP="004A30FB">
      <w:pPr>
        <w:ind w:firstLine="397"/>
        <w:jc w:val="center"/>
        <w:rPr>
          <w:lang w:val="ru-RU"/>
        </w:rPr>
      </w:pPr>
      <w:r w:rsidRPr="004A30FB">
        <w:rPr>
          <w:rFonts w:eastAsia="Calibri" w:cs="Times New Roman"/>
          <w:noProof/>
          <w:sz w:val="28"/>
          <w:szCs w:val="28"/>
          <w:lang w:val="ru-RU" w:eastAsia="ru-RU" w:bidi="ar-SA"/>
        </w:rPr>
        <w:drawing>
          <wp:inline distT="0" distB="0" distL="0" distR="0">
            <wp:extent cx="2924175" cy="1447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1447800"/>
                    </a:xfrm>
                    <a:prstGeom prst="rect">
                      <a:avLst/>
                    </a:prstGeom>
                    <a:noFill/>
                    <a:ln>
                      <a:noFill/>
                    </a:ln>
                  </pic:spPr>
                </pic:pic>
              </a:graphicData>
            </a:graphic>
          </wp:inline>
        </w:drawing>
      </w:r>
    </w:p>
    <w:p w:rsidR="004A30FB" w:rsidRPr="004A30FB" w:rsidRDefault="004A30FB" w:rsidP="004A30FB">
      <w:pPr>
        <w:ind w:firstLine="397"/>
        <w:jc w:val="center"/>
        <w:rPr>
          <w:i/>
          <w:lang w:val="ru-RU"/>
        </w:rPr>
      </w:pPr>
      <w:r w:rsidRPr="004A30FB">
        <w:rPr>
          <w:i/>
          <w:lang w:val="ru-RU"/>
        </w:rPr>
        <w:t xml:space="preserve">Рис. 1. Структурная схема системы управления процессами калибровки эталонных мер </w:t>
      </w:r>
      <w:proofErr w:type="spellStart"/>
      <w:r w:rsidRPr="004A30FB">
        <w:rPr>
          <w:i/>
          <w:lang w:val="ru-RU"/>
        </w:rPr>
        <w:t>нанометрии</w:t>
      </w:r>
      <w:proofErr w:type="spellEnd"/>
    </w:p>
    <w:p w:rsidR="004A30FB" w:rsidRPr="004A30FB" w:rsidRDefault="004A30FB" w:rsidP="004A30FB">
      <w:pPr>
        <w:ind w:firstLine="397"/>
        <w:rPr>
          <w:bCs/>
          <w:iCs/>
          <w:lang w:val="ru-RU"/>
        </w:rPr>
      </w:pPr>
      <w:r w:rsidRPr="004A30FB">
        <w:rPr>
          <w:bCs/>
          <w:iCs/>
          <w:lang w:val="ru-RU"/>
        </w:rPr>
        <w:t>Каждый СЭ данной системы содержит локальную систему знаний, средства накопления или коррекции ее в процессе эксплуатации, а также средства обмена с другими элементами.</w:t>
      </w:r>
    </w:p>
    <w:p w:rsidR="004A30FB" w:rsidRPr="004A30FB" w:rsidRDefault="004A30FB" w:rsidP="004A30FB">
      <w:pPr>
        <w:ind w:firstLine="397"/>
        <w:rPr>
          <w:lang w:val="ru-RU"/>
        </w:rPr>
      </w:pPr>
      <w:r w:rsidRPr="004A30FB">
        <w:rPr>
          <w:lang w:val="ru-RU"/>
        </w:rPr>
        <w:t>Функции СЭ:</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0</w:t>
      </w:r>
      <w:r w:rsidRPr="004A30FB">
        <w:rPr>
          <w:b/>
          <w:bCs/>
          <w:lang w:val="ru-RU"/>
        </w:rPr>
        <w:t xml:space="preserve"> </w:t>
      </w:r>
      <w:r w:rsidRPr="004A30FB">
        <w:rPr>
          <w:lang w:val="ru-RU"/>
        </w:rPr>
        <w:t xml:space="preserve">– контроль функционирования системы управления калибровкой эталонных мер </w:t>
      </w:r>
      <w:proofErr w:type="spellStart"/>
      <w:r w:rsidRPr="004A30FB">
        <w:rPr>
          <w:lang w:val="ru-RU"/>
        </w:rPr>
        <w:t>нанометрии</w:t>
      </w:r>
      <w:proofErr w:type="spellEnd"/>
      <w:r w:rsidRPr="004A30FB">
        <w:rPr>
          <w:lang w:val="ru-RU"/>
        </w:rPr>
        <w:t>.</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1</w:t>
      </w:r>
      <w:r w:rsidRPr="004A30FB">
        <w:rPr>
          <w:lang w:val="ru-RU"/>
        </w:rPr>
        <w:t xml:space="preserve"> –подготовка поверхности неоднородных мер высоты для измерений средствами </w:t>
      </w:r>
      <w:proofErr w:type="spellStart"/>
      <w:r w:rsidRPr="004A30FB">
        <w:rPr>
          <w:lang w:val="ru-RU"/>
        </w:rPr>
        <w:t>нанометрии</w:t>
      </w:r>
      <w:proofErr w:type="spellEnd"/>
      <w:r w:rsidRPr="004A30FB">
        <w:rPr>
          <w:lang w:val="ru-RU"/>
        </w:rPr>
        <w:t>.</w:t>
      </w:r>
    </w:p>
    <w:p w:rsidR="004A30FB" w:rsidRPr="004A30FB" w:rsidRDefault="004A30FB" w:rsidP="004A30FB">
      <w:pPr>
        <w:ind w:firstLine="397"/>
        <w:rPr>
          <w:lang w:val="ru-RU"/>
        </w:rPr>
      </w:pPr>
      <w:r w:rsidRPr="004A30FB">
        <w:rPr>
          <w:lang w:val="ru-RU"/>
        </w:rPr>
        <w:t xml:space="preserve">Метод подготовки: предварительное магнетронное напыление пленки хрома (при измерении средствами интерферометрии) или островной плени золота (при измерении средствами зондовой </w:t>
      </w:r>
      <w:proofErr w:type="spellStart"/>
      <w:r w:rsidRPr="004A30FB">
        <w:rPr>
          <w:lang w:val="ru-RU"/>
        </w:rPr>
        <w:t>нанометрии</w:t>
      </w:r>
      <w:proofErr w:type="spellEnd"/>
      <w:r w:rsidRPr="004A30FB">
        <w:rPr>
          <w:lang w:val="ru-RU"/>
        </w:rPr>
        <w:t>).</w:t>
      </w:r>
    </w:p>
    <w:p w:rsidR="004A30FB" w:rsidRPr="004A30FB" w:rsidRDefault="004A30FB" w:rsidP="004A30FB">
      <w:pPr>
        <w:ind w:firstLine="397"/>
        <w:rPr>
          <w:lang w:val="ru-RU"/>
        </w:rPr>
      </w:pPr>
      <w:r w:rsidRPr="004A30FB">
        <w:rPr>
          <w:lang w:val="ru-RU"/>
        </w:rPr>
        <w:t>Показатели эффективности:</w:t>
      </w:r>
    </w:p>
    <w:p w:rsidR="004A30FB" w:rsidRPr="004A30FB" w:rsidRDefault="004A30FB" w:rsidP="004A30FB">
      <w:pPr>
        <w:ind w:firstLine="397"/>
        <w:rPr>
          <w:lang w:val="ru-RU"/>
        </w:rPr>
      </w:pPr>
      <w:r w:rsidRPr="004A30FB">
        <w:rPr>
          <w:lang w:val="ru-RU"/>
        </w:rPr>
        <w:t>* мера равномерности коэффициента отражения по всей поверхности меры. Вероятность достижения требуемого значения меры равномерности коэффициента отражения по всей поверхности меры P=0,95;</w:t>
      </w:r>
    </w:p>
    <w:p w:rsidR="004A30FB" w:rsidRPr="004A30FB" w:rsidRDefault="004A30FB" w:rsidP="004A30FB">
      <w:pPr>
        <w:ind w:firstLine="397"/>
        <w:rPr>
          <w:lang w:val="ru-RU"/>
        </w:rPr>
      </w:pPr>
      <w:r w:rsidRPr="004A30FB">
        <w:rPr>
          <w:lang w:val="ru-RU"/>
        </w:rPr>
        <w:t>* сохранение пропорций и структуры рельефных элементов. Вероятность обеспечения требуемых пропорций P=0,95.</w:t>
      </w:r>
    </w:p>
    <w:p w:rsidR="004A30FB" w:rsidRPr="004A30FB" w:rsidRDefault="004A30FB" w:rsidP="004A30FB">
      <w:pPr>
        <w:ind w:firstLine="397"/>
        <w:rPr>
          <w:lang w:val="ru-RU"/>
        </w:rPr>
      </w:pPr>
      <w:r w:rsidRPr="004A30FB">
        <w:rPr>
          <w:lang w:val="ru-RU"/>
        </w:rPr>
        <w:t>Вероятность эффективности СЭ1 – 0,9.</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2</w:t>
      </w:r>
      <w:r w:rsidRPr="004A30FB">
        <w:rPr>
          <w:b/>
          <w:bCs/>
          <w:lang w:val="ru-RU"/>
        </w:rPr>
        <w:t xml:space="preserve"> </w:t>
      </w:r>
      <w:r w:rsidRPr="004A30FB">
        <w:rPr>
          <w:lang w:val="ru-RU"/>
        </w:rPr>
        <w:t>– оценка шероховатости поверхности калибровочных мер.</w:t>
      </w:r>
    </w:p>
    <w:p w:rsidR="004A30FB" w:rsidRPr="004A30FB" w:rsidRDefault="004A30FB" w:rsidP="004A30FB">
      <w:pPr>
        <w:ind w:firstLine="397"/>
        <w:rPr>
          <w:lang w:val="ru-RU"/>
        </w:rPr>
      </w:pPr>
      <w:r w:rsidRPr="004A30FB">
        <w:rPr>
          <w:lang w:val="ru-RU"/>
        </w:rPr>
        <w:t xml:space="preserve">Метод оценки: измерение с помощью </w:t>
      </w:r>
      <w:proofErr w:type="spellStart"/>
      <w:r w:rsidRPr="004A30FB">
        <w:rPr>
          <w:lang w:val="ru-RU"/>
        </w:rPr>
        <w:t>стилусного</w:t>
      </w:r>
      <w:proofErr w:type="spellEnd"/>
      <w:r w:rsidRPr="004A30FB">
        <w:rPr>
          <w:lang w:val="ru-RU"/>
        </w:rPr>
        <w:t xml:space="preserve"> профилометра </w:t>
      </w:r>
      <w:proofErr w:type="spellStart"/>
      <w:r w:rsidRPr="004A30FB">
        <w:rPr>
          <w:lang w:val="ru-RU"/>
        </w:rPr>
        <w:t>AlphaStep</w:t>
      </w:r>
      <w:proofErr w:type="spellEnd"/>
      <w:r w:rsidRPr="004A30FB">
        <w:rPr>
          <w:lang w:val="ru-RU"/>
        </w:rPr>
        <w:t xml:space="preserve"> D-600 путем сканирования поверхности мер алмазной иглой (стилусом) и последующей обработки профиля. Измерения должны проводиться при минимально возможном значении скорости сканирования стилуса по поверхности меры (~0,01 мм/сек) и минимально возможном значении силы прижима стилуса к поверхности (~0,03 мг).</w:t>
      </w:r>
    </w:p>
    <w:p w:rsidR="004A30FB" w:rsidRPr="004A30FB" w:rsidRDefault="004A30FB" w:rsidP="004A30FB">
      <w:pPr>
        <w:ind w:firstLine="397"/>
        <w:rPr>
          <w:lang w:val="ru-RU"/>
        </w:rPr>
      </w:pPr>
      <w:r w:rsidRPr="004A30FB">
        <w:rPr>
          <w:lang w:val="ru-RU"/>
        </w:rPr>
        <w:t xml:space="preserve">* Параметр </w:t>
      </w:r>
      <w:proofErr w:type="spellStart"/>
      <w:r w:rsidRPr="004A30FB">
        <w:rPr>
          <w:lang w:val="ru-RU"/>
        </w:rPr>
        <w:t>Ra</w:t>
      </w:r>
      <w:proofErr w:type="spellEnd"/>
      <w:r w:rsidRPr="004A30FB">
        <w:rPr>
          <w:lang w:val="ru-RU"/>
        </w:rPr>
        <w:t xml:space="preserve"> (</w:t>
      </w:r>
      <w:proofErr w:type="spellStart"/>
      <w:r w:rsidRPr="004A30FB">
        <w:rPr>
          <w:lang w:val="ru-RU"/>
        </w:rPr>
        <w:t>Raw</w:t>
      </w:r>
      <w:proofErr w:type="spellEnd"/>
      <w:r w:rsidRPr="004A30FB">
        <w:rPr>
          <w:lang w:val="ru-RU"/>
        </w:rPr>
        <w:t xml:space="preserve">) является универсальным показателем, дающим наиболее полную характеристику шероховатости поверхности с учетом всех точек. Вероятность обеспечения требуемого значения параметра </w:t>
      </w:r>
      <w:proofErr w:type="spellStart"/>
      <w:proofErr w:type="gramStart"/>
      <w:r w:rsidRPr="004A30FB">
        <w:rPr>
          <w:lang w:val="ru-RU"/>
        </w:rPr>
        <w:t>Ra</w:t>
      </w:r>
      <w:proofErr w:type="spellEnd"/>
      <w:r w:rsidRPr="004A30FB">
        <w:rPr>
          <w:lang w:val="ru-RU"/>
        </w:rPr>
        <w:t xml:space="preserve">  P</w:t>
      </w:r>
      <w:proofErr w:type="gramEnd"/>
      <w:r w:rsidRPr="004A30FB">
        <w:rPr>
          <w:lang w:val="ru-RU"/>
        </w:rPr>
        <w:t>=0,95;</w:t>
      </w:r>
    </w:p>
    <w:p w:rsidR="004A30FB" w:rsidRPr="004A30FB" w:rsidRDefault="004A30FB" w:rsidP="004A30FB">
      <w:pPr>
        <w:ind w:firstLine="397"/>
        <w:rPr>
          <w:lang w:val="ru-RU"/>
        </w:rPr>
      </w:pPr>
      <w:r w:rsidRPr="004A30FB">
        <w:rPr>
          <w:lang w:val="ru-RU"/>
        </w:rPr>
        <w:lastRenderedPageBreak/>
        <w:t xml:space="preserve">* Параметр </w:t>
      </w:r>
      <w:proofErr w:type="spellStart"/>
      <w:r w:rsidRPr="004A30FB">
        <w:rPr>
          <w:lang w:val="ru-RU"/>
        </w:rPr>
        <w:t>Rz</w:t>
      </w:r>
      <w:proofErr w:type="spellEnd"/>
      <w:r w:rsidRPr="004A30FB">
        <w:rPr>
          <w:lang w:val="ru-RU"/>
        </w:rPr>
        <w:t xml:space="preserve"> выводит среднее арифметическое последовательных значений разности высот пиков и долин, взятых на длине оценивания L, отражая таким образом высоту неровностей профиля по 10 точкам. Вероятность обеспечения требуемого значения параметра </w:t>
      </w:r>
      <w:proofErr w:type="spellStart"/>
      <w:r w:rsidRPr="004A30FB">
        <w:rPr>
          <w:lang w:val="ru-RU"/>
        </w:rPr>
        <w:t>Rz</w:t>
      </w:r>
      <w:proofErr w:type="spellEnd"/>
      <w:r w:rsidRPr="004A30FB">
        <w:rPr>
          <w:lang w:val="ru-RU"/>
        </w:rPr>
        <w:t xml:space="preserve"> P=0,95.</w:t>
      </w:r>
    </w:p>
    <w:p w:rsidR="004A30FB" w:rsidRPr="004A30FB" w:rsidRDefault="004A30FB" w:rsidP="004A30FB">
      <w:pPr>
        <w:ind w:firstLine="397"/>
        <w:rPr>
          <w:lang w:val="ru-RU"/>
        </w:rPr>
      </w:pPr>
      <w:r w:rsidRPr="004A30FB">
        <w:rPr>
          <w:lang w:val="ru-RU"/>
        </w:rPr>
        <w:t>Вероятность эффективности СЭ</w:t>
      </w:r>
      <w:r w:rsidRPr="004A30FB">
        <w:rPr>
          <w:vertAlign w:val="subscript"/>
          <w:lang w:val="ru-RU"/>
        </w:rPr>
        <w:t>2</w:t>
      </w:r>
      <w:r w:rsidRPr="004A30FB">
        <w:rPr>
          <w:lang w:val="ru-RU"/>
        </w:rPr>
        <w:t xml:space="preserve"> – 0,9.</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3</w:t>
      </w:r>
      <w:r w:rsidRPr="004A30FB">
        <w:rPr>
          <w:lang w:val="ru-RU"/>
        </w:rPr>
        <w:t xml:space="preserve"> – измерение высоты эталонной меры путем </w:t>
      </w:r>
      <w:proofErr w:type="spellStart"/>
      <w:r w:rsidRPr="004A30FB">
        <w:rPr>
          <w:lang w:val="ru-RU"/>
        </w:rPr>
        <w:t>компарирования</w:t>
      </w:r>
      <w:proofErr w:type="spellEnd"/>
      <w:r w:rsidRPr="004A30FB">
        <w:rPr>
          <w:lang w:val="ru-RU"/>
        </w:rPr>
        <w:t xml:space="preserve"> методом </w:t>
      </w:r>
      <w:proofErr w:type="spellStart"/>
      <w:r w:rsidRPr="004A30FB">
        <w:rPr>
          <w:lang w:val="ru-RU"/>
        </w:rPr>
        <w:t>стилусной</w:t>
      </w:r>
      <w:proofErr w:type="spellEnd"/>
      <w:r w:rsidRPr="004A30FB">
        <w:rPr>
          <w:lang w:val="ru-RU"/>
        </w:rPr>
        <w:t xml:space="preserve"> </w:t>
      </w:r>
      <w:proofErr w:type="spellStart"/>
      <w:r w:rsidRPr="004A30FB">
        <w:rPr>
          <w:lang w:val="ru-RU"/>
        </w:rPr>
        <w:t>профилометрии</w:t>
      </w:r>
      <w:proofErr w:type="spellEnd"/>
      <w:r w:rsidRPr="004A30FB">
        <w:rPr>
          <w:lang w:val="ru-RU"/>
        </w:rPr>
        <w:t>, определение отношения значений высот аттестуемой меры и меры сравнения.</w:t>
      </w:r>
    </w:p>
    <w:p w:rsidR="004A30FB" w:rsidRPr="004A30FB" w:rsidRDefault="004A30FB" w:rsidP="004A30FB">
      <w:pPr>
        <w:ind w:firstLine="397"/>
        <w:rPr>
          <w:lang w:val="ru-RU"/>
        </w:rPr>
      </w:pPr>
      <w:r w:rsidRPr="004A30FB">
        <w:rPr>
          <w:lang w:val="ru-RU"/>
        </w:rPr>
        <w:t>Метод измерения:</w:t>
      </w:r>
    </w:p>
    <w:p w:rsidR="004A30FB" w:rsidRPr="004A30FB" w:rsidRDefault="004A30FB" w:rsidP="004A30FB">
      <w:pPr>
        <w:ind w:firstLine="397"/>
        <w:rPr>
          <w:lang w:val="ru-RU"/>
        </w:rPr>
      </w:pPr>
      <w:r w:rsidRPr="004A30FB">
        <w:rPr>
          <w:lang w:val="ru-RU"/>
        </w:rPr>
        <w:t xml:space="preserve">Измерения в режиме </w:t>
      </w:r>
      <w:proofErr w:type="spellStart"/>
      <w:r w:rsidRPr="004A30FB">
        <w:rPr>
          <w:lang w:val="ru-RU"/>
        </w:rPr>
        <w:t>компарирования</w:t>
      </w:r>
      <w:proofErr w:type="spellEnd"/>
      <w:r w:rsidRPr="004A30FB">
        <w:rPr>
          <w:lang w:val="ru-RU"/>
        </w:rPr>
        <w:t xml:space="preserve"> проводятся с помощью </w:t>
      </w:r>
      <w:proofErr w:type="spellStart"/>
      <w:r w:rsidRPr="004A30FB">
        <w:rPr>
          <w:lang w:val="ru-RU"/>
        </w:rPr>
        <w:t>стилусного</w:t>
      </w:r>
      <w:proofErr w:type="spellEnd"/>
      <w:r w:rsidRPr="004A30FB">
        <w:rPr>
          <w:lang w:val="ru-RU"/>
        </w:rPr>
        <w:t xml:space="preserve"> профилометра </w:t>
      </w:r>
      <w:proofErr w:type="spellStart"/>
      <w:r w:rsidRPr="004A30FB">
        <w:rPr>
          <w:lang w:val="ru-RU"/>
        </w:rPr>
        <w:t>Alpha-Step</w:t>
      </w:r>
      <w:proofErr w:type="spellEnd"/>
      <w:r w:rsidRPr="004A30FB">
        <w:rPr>
          <w:lang w:val="ru-RU"/>
        </w:rPr>
        <w:t xml:space="preserve"> D-600, калибровка которого была проведена в соответствии с руководством по эксплуатации с помощью меры высоты ступени KTS-4500 QS (фирмы VLSI) с паспортным значением высоты равным 451,2 ± 2,9 </w:t>
      </w:r>
      <w:proofErr w:type="spellStart"/>
      <w:r w:rsidRPr="004A30FB">
        <w:rPr>
          <w:lang w:val="ru-RU"/>
        </w:rPr>
        <w:t>нм</w:t>
      </w:r>
      <w:proofErr w:type="spellEnd"/>
      <w:r w:rsidRPr="004A30FB">
        <w:rPr>
          <w:lang w:val="ru-RU"/>
        </w:rPr>
        <w:t xml:space="preserve">, расширенная неопределенность измерений 2,9 </w:t>
      </w:r>
      <w:proofErr w:type="spellStart"/>
      <w:r w:rsidRPr="004A30FB">
        <w:rPr>
          <w:lang w:val="ru-RU"/>
        </w:rPr>
        <w:t>нм</w:t>
      </w:r>
      <w:proofErr w:type="spellEnd"/>
      <w:r w:rsidRPr="004A30FB">
        <w:rPr>
          <w:lang w:val="ru-RU"/>
        </w:rPr>
        <w:t xml:space="preserve"> указана для доверительной вероятности P = 0,95.</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4</w:t>
      </w:r>
      <w:r w:rsidRPr="004A30FB">
        <w:rPr>
          <w:lang w:val="ru-RU"/>
        </w:rPr>
        <w:t xml:space="preserve"> – измерение высоты меры сравнения методом трехмерной реконструкции в растровом электронном микроскопе (РЭМ).</w:t>
      </w:r>
    </w:p>
    <w:p w:rsidR="004A30FB" w:rsidRPr="004A30FB" w:rsidRDefault="004A30FB" w:rsidP="004A30FB">
      <w:pPr>
        <w:ind w:firstLine="397"/>
        <w:rPr>
          <w:lang w:val="ru-RU"/>
        </w:rPr>
      </w:pPr>
      <w:r w:rsidRPr="004A30FB">
        <w:rPr>
          <w:lang w:val="ru-RU"/>
        </w:rPr>
        <w:t>Метод измерения:</w:t>
      </w:r>
    </w:p>
    <w:p w:rsidR="004A30FB" w:rsidRPr="004A30FB" w:rsidRDefault="004A30FB" w:rsidP="004A30FB">
      <w:pPr>
        <w:ind w:firstLine="397"/>
        <w:rPr>
          <w:lang w:val="ru-RU"/>
        </w:rPr>
      </w:pPr>
      <w:r w:rsidRPr="004A30FB">
        <w:rPr>
          <w:lang w:val="ru-RU"/>
        </w:rPr>
        <w:t xml:space="preserve">Трехмерная реконструкция производилась в РЭМ S-4800, </w:t>
      </w:r>
      <w:proofErr w:type="spellStart"/>
      <w:r w:rsidRPr="004A30FB">
        <w:rPr>
          <w:lang w:val="ru-RU"/>
        </w:rPr>
        <w:t>cтереоизображения</w:t>
      </w:r>
      <w:proofErr w:type="spellEnd"/>
      <w:r w:rsidRPr="004A30FB">
        <w:rPr>
          <w:lang w:val="ru-RU"/>
        </w:rPr>
        <w:t xml:space="preserve"> фиксировались при углах наклона меры ±150 и увеличении х20К. </w:t>
      </w:r>
    </w:p>
    <w:p w:rsidR="004A30FB" w:rsidRPr="004A30FB" w:rsidRDefault="004A30FB" w:rsidP="004A30FB">
      <w:pPr>
        <w:ind w:firstLine="397"/>
        <w:rPr>
          <w:lang w:val="ru-RU"/>
        </w:rPr>
      </w:pPr>
      <w:r w:rsidRPr="004A30FB">
        <w:rPr>
          <w:lang w:val="ru-RU"/>
        </w:rPr>
        <w:t>Показатель эффективности:</w:t>
      </w:r>
    </w:p>
    <w:p w:rsidR="004A30FB" w:rsidRPr="004A30FB" w:rsidRDefault="004A30FB" w:rsidP="004A30FB">
      <w:pPr>
        <w:ind w:firstLine="397"/>
        <w:rPr>
          <w:lang w:val="ru-RU"/>
        </w:rPr>
      </w:pPr>
      <w:r w:rsidRPr="004A30FB">
        <w:rPr>
          <w:lang w:val="ru-RU"/>
        </w:rPr>
        <w:t xml:space="preserve">* среднее </w:t>
      </w:r>
      <w:proofErr w:type="spellStart"/>
      <w:r w:rsidRPr="004A30FB">
        <w:rPr>
          <w:lang w:val="ru-RU"/>
        </w:rPr>
        <w:t>квадратическое</w:t>
      </w:r>
      <w:proofErr w:type="spellEnd"/>
      <w:r w:rsidRPr="004A30FB">
        <w:rPr>
          <w:lang w:val="ru-RU"/>
        </w:rPr>
        <w:t xml:space="preserve"> отклонение результатов измерений от среднего </w:t>
      </w:r>
      <w:proofErr w:type="spellStart"/>
      <w:r w:rsidRPr="004A30FB">
        <w:rPr>
          <w:lang w:val="ru-RU"/>
        </w:rPr>
        <w:t>арифметичесного</w:t>
      </w:r>
      <w:proofErr w:type="spellEnd"/>
      <w:r w:rsidRPr="004A30FB">
        <w:rPr>
          <w:lang w:val="ru-RU"/>
        </w:rPr>
        <w:t>. Вероятность достижения требуемого значения – 0,95;</w:t>
      </w:r>
    </w:p>
    <w:p w:rsidR="004A30FB" w:rsidRPr="004A30FB" w:rsidRDefault="004A30FB" w:rsidP="004A30FB">
      <w:pPr>
        <w:ind w:firstLine="397"/>
        <w:rPr>
          <w:lang w:val="ru-RU"/>
        </w:rPr>
      </w:pPr>
      <w:r w:rsidRPr="004A30FB">
        <w:rPr>
          <w:lang w:val="ru-RU"/>
        </w:rPr>
        <w:t xml:space="preserve">* значение относительной </w:t>
      </w:r>
      <w:proofErr w:type="spellStart"/>
      <w:r w:rsidRPr="004A30FB">
        <w:rPr>
          <w:lang w:val="ru-RU"/>
        </w:rPr>
        <w:t>стандартой</w:t>
      </w:r>
      <w:proofErr w:type="spellEnd"/>
      <w:r w:rsidRPr="004A30FB">
        <w:rPr>
          <w:lang w:val="ru-RU"/>
        </w:rPr>
        <w:t xml:space="preserve"> неопределенности измерений параллакса. Вероятность достижения требуемого значения – 0,95.</w:t>
      </w:r>
    </w:p>
    <w:p w:rsidR="004A30FB" w:rsidRPr="004A30FB" w:rsidRDefault="004A30FB" w:rsidP="004A30FB">
      <w:pPr>
        <w:ind w:firstLine="397"/>
        <w:rPr>
          <w:lang w:val="ru-RU"/>
        </w:rPr>
      </w:pPr>
      <w:r w:rsidRPr="004A30FB">
        <w:rPr>
          <w:lang w:val="ru-RU"/>
        </w:rPr>
        <w:t>Вероятность эффективности СЭ</w:t>
      </w:r>
      <w:r w:rsidRPr="004A30FB">
        <w:rPr>
          <w:vertAlign w:val="subscript"/>
          <w:lang w:val="ru-RU"/>
        </w:rPr>
        <w:t>4</w:t>
      </w:r>
      <w:r w:rsidRPr="004A30FB">
        <w:rPr>
          <w:lang w:val="ru-RU"/>
        </w:rPr>
        <w:t xml:space="preserve"> – 0,9.</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5</w:t>
      </w:r>
      <w:r w:rsidRPr="004A30FB">
        <w:rPr>
          <w:lang w:val="ru-RU"/>
        </w:rPr>
        <w:t xml:space="preserve"> – калибровка </w:t>
      </w:r>
      <w:proofErr w:type="spellStart"/>
      <w:r w:rsidRPr="004A30FB">
        <w:rPr>
          <w:lang w:val="ru-RU"/>
        </w:rPr>
        <w:t>стилусного</w:t>
      </w:r>
      <w:proofErr w:type="spellEnd"/>
      <w:r w:rsidRPr="004A30FB">
        <w:rPr>
          <w:lang w:val="ru-RU"/>
        </w:rPr>
        <w:t xml:space="preserve"> профилометра.</w:t>
      </w:r>
    </w:p>
    <w:p w:rsidR="004A30FB" w:rsidRPr="004A30FB" w:rsidRDefault="004A30FB" w:rsidP="004A30FB">
      <w:pPr>
        <w:ind w:firstLine="397"/>
        <w:rPr>
          <w:lang w:val="ru-RU"/>
        </w:rPr>
      </w:pPr>
      <w:r w:rsidRPr="004A30FB">
        <w:rPr>
          <w:lang w:val="ru-RU"/>
        </w:rPr>
        <w:t xml:space="preserve">Калибровка проведена в соответствии с руководством по эксплуатации с помощью меры высоты ступени KTS-4500 QS (фирмы VLSI) с паспортным значением высоты равным 451,2 ± 2,9 </w:t>
      </w:r>
      <w:proofErr w:type="spellStart"/>
      <w:r w:rsidRPr="004A30FB">
        <w:rPr>
          <w:lang w:val="ru-RU"/>
        </w:rPr>
        <w:t>нм</w:t>
      </w:r>
      <w:proofErr w:type="spellEnd"/>
      <w:r w:rsidRPr="004A30FB">
        <w:rPr>
          <w:lang w:val="ru-RU"/>
        </w:rPr>
        <w:t xml:space="preserve">, расширенная неопределенность измерений 2,9 </w:t>
      </w:r>
      <w:proofErr w:type="spellStart"/>
      <w:r w:rsidRPr="004A30FB">
        <w:rPr>
          <w:lang w:val="ru-RU"/>
        </w:rPr>
        <w:t>нм</w:t>
      </w:r>
      <w:proofErr w:type="spellEnd"/>
      <w:r w:rsidRPr="004A30FB">
        <w:rPr>
          <w:lang w:val="ru-RU"/>
        </w:rPr>
        <w:t xml:space="preserve"> указана для доверительной вероятности P = 95 %.</w:t>
      </w:r>
    </w:p>
    <w:p w:rsidR="004A30FB" w:rsidRPr="004A30FB" w:rsidRDefault="004A30FB" w:rsidP="004A30FB">
      <w:pPr>
        <w:ind w:firstLine="397"/>
        <w:rPr>
          <w:lang w:val="ru-RU"/>
        </w:rPr>
      </w:pPr>
      <w:r w:rsidRPr="004A30FB">
        <w:rPr>
          <w:lang w:val="ru-RU"/>
        </w:rPr>
        <w:t>Вероятность эффективности СЭ</w:t>
      </w:r>
      <w:r w:rsidRPr="004A30FB">
        <w:rPr>
          <w:vertAlign w:val="subscript"/>
          <w:lang w:val="ru-RU"/>
        </w:rPr>
        <w:t>5</w:t>
      </w:r>
      <w:r w:rsidRPr="004A30FB">
        <w:rPr>
          <w:lang w:val="ru-RU"/>
        </w:rPr>
        <w:t xml:space="preserve"> – 0,95.</w:t>
      </w:r>
    </w:p>
    <w:p w:rsidR="004A30FB" w:rsidRPr="004A30FB" w:rsidRDefault="004A30FB" w:rsidP="004A30FB">
      <w:pPr>
        <w:ind w:firstLine="397"/>
        <w:rPr>
          <w:lang w:val="ru-RU"/>
        </w:rPr>
      </w:pPr>
      <w:r w:rsidRPr="004A30FB">
        <w:rPr>
          <w:b/>
          <w:bCs/>
          <w:lang w:val="ru-RU"/>
        </w:rPr>
        <w:t>СЭ</w:t>
      </w:r>
      <w:r w:rsidRPr="004A30FB">
        <w:rPr>
          <w:b/>
          <w:bCs/>
          <w:vertAlign w:val="subscript"/>
          <w:lang w:val="ru-RU"/>
        </w:rPr>
        <w:t>6</w:t>
      </w:r>
      <w:r w:rsidRPr="004A30FB">
        <w:rPr>
          <w:b/>
          <w:bCs/>
          <w:lang w:val="ru-RU"/>
        </w:rPr>
        <w:t xml:space="preserve"> </w:t>
      </w:r>
      <w:r w:rsidRPr="004A30FB">
        <w:rPr>
          <w:lang w:val="ru-RU"/>
        </w:rPr>
        <w:t>– калибровка РЭМ.</w:t>
      </w:r>
    </w:p>
    <w:p w:rsidR="004A30FB" w:rsidRPr="004A30FB" w:rsidRDefault="004A30FB" w:rsidP="004A30FB">
      <w:pPr>
        <w:ind w:firstLine="397"/>
        <w:rPr>
          <w:lang w:val="ru-RU"/>
        </w:rPr>
      </w:pPr>
      <w:r w:rsidRPr="004A30FB">
        <w:rPr>
          <w:lang w:val="ru-RU"/>
        </w:rPr>
        <w:t xml:space="preserve">Увеличение РЭМ S-4800 было предварительно откалибровано с помощью периодической меры модели 150-D2 (период 144 </w:t>
      </w:r>
      <w:proofErr w:type="spellStart"/>
      <w:r w:rsidRPr="004A30FB">
        <w:rPr>
          <w:lang w:val="ru-RU"/>
        </w:rPr>
        <w:t>нм</w:t>
      </w:r>
      <w:proofErr w:type="spellEnd"/>
      <w:r w:rsidRPr="004A30FB">
        <w:rPr>
          <w:lang w:val="ru-RU"/>
        </w:rPr>
        <w:t xml:space="preserve">), прошедшей калибровку в PTB (Германия) методом оптической </w:t>
      </w:r>
      <w:proofErr w:type="spellStart"/>
      <w:r w:rsidRPr="004A30FB">
        <w:rPr>
          <w:lang w:val="ru-RU"/>
        </w:rPr>
        <w:t>дифрактометрии</w:t>
      </w:r>
      <w:proofErr w:type="spellEnd"/>
      <w:r w:rsidRPr="004A30FB">
        <w:rPr>
          <w:lang w:val="ru-RU"/>
        </w:rPr>
        <w:t xml:space="preserve"> с относительной погрешностью менее 0,1%.</w:t>
      </w:r>
    </w:p>
    <w:p w:rsidR="004A30FB" w:rsidRPr="004A30FB" w:rsidRDefault="004A30FB" w:rsidP="004A30FB">
      <w:pPr>
        <w:ind w:firstLine="397"/>
        <w:rPr>
          <w:lang w:val="ru-RU"/>
        </w:rPr>
      </w:pPr>
      <w:r w:rsidRPr="004A30FB">
        <w:rPr>
          <w:lang w:val="ru-RU"/>
        </w:rPr>
        <w:t>Показатель эффективности:</w:t>
      </w:r>
    </w:p>
    <w:p w:rsidR="004A30FB" w:rsidRPr="004A30FB" w:rsidRDefault="004A30FB" w:rsidP="004A30FB">
      <w:pPr>
        <w:ind w:firstLine="397"/>
        <w:rPr>
          <w:lang w:val="ru-RU"/>
        </w:rPr>
      </w:pPr>
      <w:r w:rsidRPr="004A30FB">
        <w:rPr>
          <w:lang w:val="ru-RU"/>
        </w:rPr>
        <w:t>* точность определения увеличения РЭМ. Вероятность достижения требуемого значения – 0,9.</w:t>
      </w:r>
    </w:p>
    <w:p w:rsidR="004A30FB" w:rsidRPr="004A30FB" w:rsidRDefault="004A30FB" w:rsidP="004A30FB">
      <w:pPr>
        <w:ind w:firstLine="397"/>
        <w:rPr>
          <w:lang w:val="ru-RU"/>
        </w:rPr>
      </w:pPr>
      <w:r w:rsidRPr="004A30FB">
        <w:rPr>
          <w:lang w:val="ru-RU"/>
        </w:rPr>
        <w:t>* точность определения углового положения гониометрического столика. Вероятность достижения требуемого значения – 0,9.</w:t>
      </w:r>
    </w:p>
    <w:p w:rsidR="004A30FB" w:rsidRPr="004A30FB" w:rsidRDefault="004A30FB" w:rsidP="004A30FB">
      <w:pPr>
        <w:ind w:firstLine="397"/>
        <w:rPr>
          <w:lang w:val="ru-RU"/>
        </w:rPr>
      </w:pPr>
      <w:r w:rsidRPr="004A30FB">
        <w:rPr>
          <w:lang w:val="ru-RU"/>
        </w:rPr>
        <w:t>Вероятность эффективности СЭ</w:t>
      </w:r>
      <w:r w:rsidRPr="004A30FB">
        <w:rPr>
          <w:vertAlign w:val="subscript"/>
          <w:lang w:val="ru-RU"/>
        </w:rPr>
        <w:t>6</w:t>
      </w:r>
      <w:r w:rsidRPr="004A30FB">
        <w:rPr>
          <w:lang w:val="ru-RU"/>
        </w:rPr>
        <w:t xml:space="preserve"> – 0,81.</w:t>
      </w:r>
    </w:p>
    <w:p w:rsidR="004A30FB" w:rsidRDefault="004A30FB" w:rsidP="004A30FB">
      <w:pPr>
        <w:ind w:firstLine="397"/>
        <w:rPr>
          <w:lang w:val="ru-RU"/>
        </w:rPr>
      </w:pPr>
      <w:r w:rsidRPr="004A30FB">
        <w:rPr>
          <w:lang w:val="ru-RU"/>
        </w:rPr>
        <w:lastRenderedPageBreak/>
        <w:t xml:space="preserve">Используя предложенную методику, полагая при этом </w:t>
      </w:r>
      <w:proofErr w:type="spellStart"/>
      <w:r w:rsidRPr="004A30FB">
        <w:rPr>
          <w:i/>
          <w:iCs/>
        </w:rPr>
        <w:t>P</w:t>
      </w:r>
      <w:r w:rsidRPr="004A30FB">
        <w:rPr>
          <w:i/>
          <w:iCs/>
          <w:vertAlign w:val="subscript"/>
        </w:rPr>
        <w:t>min</w:t>
      </w:r>
      <w:proofErr w:type="spellEnd"/>
      <w:r w:rsidRPr="004A30FB">
        <w:rPr>
          <w:i/>
          <w:iCs/>
          <w:lang w:val="ru-RU"/>
        </w:rPr>
        <w:t xml:space="preserve">=0,95, </w:t>
      </w:r>
      <w:proofErr w:type="spellStart"/>
      <w:r w:rsidRPr="004A30FB">
        <w:rPr>
          <w:i/>
          <w:iCs/>
        </w:rPr>
        <w:t>P</w:t>
      </w:r>
      <w:r w:rsidRPr="004A30FB">
        <w:rPr>
          <w:i/>
          <w:iCs/>
          <w:vertAlign w:val="subscript"/>
        </w:rPr>
        <w:t>max</w:t>
      </w:r>
      <w:proofErr w:type="spellEnd"/>
      <w:r w:rsidRPr="004A30FB">
        <w:rPr>
          <w:i/>
          <w:iCs/>
          <w:lang w:val="ru-RU"/>
        </w:rPr>
        <w:t xml:space="preserve">=0,98, </w:t>
      </w:r>
      <w:r w:rsidRPr="004A30FB">
        <w:rPr>
          <w:i/>
          <w:iCs/>
        </w:rPr>
        <w:t>N</w:t>
      </w:r>
      <w:r w:rsidRPr="004A30FB">
        <w:rPr>
          <w:i/>
          <w:iCs/>
          <w:lang w:val="ru-RU"/>
        </w:rPr>
        <w:t xml:space="preserve">=6, </w:t>
      </w:r>
      <w:r w:rsidRPr="004A30FB">
        <w:rPr>
          <w:lang w:val="ru-RU"/>
        </w:rPr>
        <w:object w:dxaOrig="6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5pt" o:ole="">
            <v:imagedata r:id="rId9" o:title=""/>
          </v:shape>
          <o:OLEObject Type="Embed" ProgID="Equation.3" ShapeID="_x0000_i1025" DrawAspect="Content" ObjectID="_1695107373" r:id="rId10"/>
        </w:object>
      </w:r>
      <w:r w:rsidRPr="004A30FB">
        <w:rPr>
          <w:i/>
          <w:lang w:val="ru-RU"/>
        </w:rPr>
        <w:t>,</w:t>
      </w:r>
      <w:r w:rsidRPr="004A30FB">
        <w:rPr>
          <w:lang w:val="ru-RU"/>
        </w:rPr>
        <w:t xml:space="preserve"> </w:t>
      </w:r>
      <w:r w:rsidRPr="004A30FB">
        <w:rPr>
          <w:lang w:val="ru-RU"/>
        </w:rPr>
        <w:object w:dxaOrig="660" w:dyaOrig="260">
          <v:shape id="_x0000_i1026" type="#_x0000_t75" style="width:32.25pt;height:13.5pt" o:ole="">
            <v:imagedata r:id="rId11" o:title=""/>
          </v:shape>
          <o:OLEObject Type="Embed" ProgID="Equation.3" ShapeID="_x0000_i1026" DrawAspect="Content" ObjectID="_1695107374" r:id="rId12"/>
        </w:object>
      </w:r>
      <w:r w:rsidRPr="004A30FB">
        <w:rPr>
          <w:lang w:val="ru-RU"/>
        </w:rPr>
        <w:t xml:space="preserve"> найдем граничные значения </w:t>
      </w:r>
      <w:bookmarkStart w:id="1" w:name="_Hlk62926678"/>
      <w:r w:rsidRPr="004A30FB">
        <w:rPr>
          <w:iCs/>
          <w:lang w:val="ru-RU"/>
        </w:rPr>
        <w:t>∆</w:t>
      </w:r>
      <w:r w:rsidRPr="004A30FB">
        <w:rPr>
          <w:i/>
          <w:iCs/>
        </w:rPr>
        <w:t>H</w:t>
      </w:r>
      <w:r w:rsidRPr="004A30FB">
        <w:rPr>
          <w:i/>
          <w:iCs/>
          <w:lang w:val="ru-RU"/>
        </w:rPr>
        <w:t>=0,05-1,6; ∆</w:t>
      </w:r>
      <w:r w:rsidRPr="004A30FB">
        <w:rPr>
          <w:i/>
          <w:lang w:val="ru-RU"/>
        </w:rPr>
        <w:object w:dxaOrig="279" w:dyaOrig="279">
          <v:shape id="_x0000_i1027" type="#_x0000_t75" style="width:14.25pt;height:13.5pt" o:ole="">
            <v:imagedata r:id="rId13" o:title=""/>
          </v:shape>
          <o:OLEObject Type="Embed" ProgID="Equation.3" ShapeID="_x0000_i1027" DrawAspect="Content" ObjectID="_1695107375" r:id="rId14"/>
        </w:object>
      </w:r>
      <w:r w:rsidRPr="004A30FB">
        <w:rPr>
          <w:i/>
          <w:lang w:val="ru-RU"/>
        </w:rPr>
        <w:t>=0,05-0,97</w:t>
      </w:r>
      <w:r w:rsidRPr="004A30FB">
        <w:rPr>
          <w:i/>
          <w:iCs/>
          <w:lang w:val="ru-RU"/>
        </w:rPr>
        <w:t>; ∆</w:t>
      </w:r>
      <w:r w:rsidRPr="004A30FB">
        <w:rPr>
          <w:i/>
          <w:iCs/>
        </w:rPr>
        <w:t>L</w:t>
      </w:r>
      <w:r w:rsidRPr="004A30FB">
        <w:rPr>
          <w:i/>
          <w:iCs/>
          <w:lang w:val="ru-RU"/>
        </w:rPr>
        <w:t xml:space="preserve">=0,53-0,98 </w:t>
      </w:r>
      <w:r w:rsidRPr="004A30FB">
        <w:rPr>
          <w:lang w:val="ru-RU"/>
        </w:rPr>
        <w:t>(рис. 2).</w:t>
      </w:r>
      <w:bookmarkEnd w:id="1"/>
      <w:r w:rsidRPr="004A30FB">
        <w:rPr>
          <w:lang w:val="ru-RU"/>
        </w:rPr>
        <w:t xml:space="preserve"> При построении области функционирования системы, параметры задавались исходя из </w:t>
      </w:r>
      <w:proofErr w:type="gramStart"/>
      <w:r w:rsidRPr="004A30FB">
        <w:rPr>
          <w:lang w:val="ru-RU"/>
        </w:rPr>
        <w:t>достижения  наивысшей</w:t>
      </w:r>
      <w:proofErr w:type="gramEnd"/>
      <w:r w:rsidRPr="004A30FB">
        <w:rPr>
          <w:lang w:val="ru-RU"/>
        </w:rPr>
        <w:t xml:space="preserve"> точности измерения высоты эталонной меры, достигаемой методами интерферометрии (±2 </w:t>
      </w:r>
      <w:proofErr w:type="spellStart"/>
      <w:r w:rsidRPr="004A30FB">
        <w:rPr>
          <w:lang w:val="ru-RU"/>
        </w:rPr>
        <w:t>нм</w:t>
      </w:r>
      <w:proofErr w:type="spellEnd"/>
      <w:r w:rsidRPr="004A30FB">
        <w:rPr>
          <w:lang w:val="ru-RU"/>
        </w:rPr>
        <w:t>).</w:t>
      </w:r>
    </w:p>
    <w:p w:rsidR="004A30FB" w:rsidRDefault="004A30FB" w:rsidP="004A30FB">
      <w:pPr>
        <w:ind w:firstLine="397"/>
        <w:jc w:val="center"/>
        <w:rPr>
          <w:lang w:val="ru-RU"/>
        </w:rPr>
      </w:pPr>
      <w:r w:rsidRPr="004A30FB">
        <w:rPr>
          <w:rFonts w:eastAsia="Calibri" w:cs="Times New Roman"/>
          <w:noProof/>
          <w:sz w:val="28"/>
          <w:szCs w:val="28"/>
          <w:lang w:val="ru-RU" w:eastAsia="ru-RU" w:bidi="ar-SA"/>
        </w:rPr>
        <w:drawing>
          <wp:inline distT="0" distB="0" distL="0" distR="0">
            <wp:extent cx="3057525" cy="1685925"/>
            <wp:effectExtent l="0" t="0" r="9525" b="9525"/>
            <wp:docPr id="2" name="Рисунок 2" descr="C:\Users\Пользователь\Pictures\2021-09-16 at 15-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Пользователь\Pictures\2021-09-16 at 15-23-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7525" cy="1685925"/>
                    </a:xfrm>
                    <a:prstGeom prst="rect">
                      <a:avLst/>
                    </a:prstGeom>
                    <a:noFill/>
                    <a:ln>
                      <a:noFill/>
                    </a:ln>
                  </pic:spPr>
                </pic:pic>
              </a:graphicData>
            </a:graphic>
          </wp:inline>
        </w:drawing>
      </w:r>
    </w:p>
    <w:p w:rsidR="004A30FB" w:rsidRDefault="004A30FB" w:rsidP="004A30FB">
      <w:pPr>
        <w:ind w:firstLine="397"/>
        <w:jc w:val="center"/>
        <w:rPr>
          <w:i/>
          <w:lang w:val="ru-RU"/>
        </w:rPr>
      </w:pPr>
      <w:r w:rsidRPr="004A30FB">
        <w:rPr>
          <w:i/>
          <w:lang w:val="ru-RU"/>
        </w:rPr>
        <w:t>Рис. 2.</w:t>
      </w:r>
      <w:r w:rsidRPr="004A30FB">
        <w:rPr>
          <w:lang w:val="ru-RU"/>
        </w:rPr>
        <w:t xml:space="preserve"> </w:t>
      </w:r>
      <w:r w:rsidRPr="004A30FB">
        <w:rPr>
          <w:i/>
          <w:lang w:val="ru-RU"/>
        </w:rPr>
        <w:t>Положение точек в фазовом пространстве</w:t>
      </w:r>
    </w:p>
    <w:p w:rsidR="004A30FB" w:rsidRDefault="004A30FB" w:rsidP="004A30FB">
      <w:pPr>
        <w:ind w:firstLine="397"/>
        <w:jc w:val="center"/>
        <w:rPr>
          <w:lang w:val="ru-RU"/>
        </w:rPr>
      </w:pPr>
    </w:p>
    <w:p w:rsidR="00580823" w:rsidRPr="00780E80" w:rsidRDefault="004A30FB" w:rsidP="00580823">
      <w:pPr>
        <w:ind w:firstLine="397"/>
        <w:rPr>
          <w:lang w:val="ru-RU"/>
        </w:rPr>
      </w:pPr>
      <w:r w:rsidRPr="004A30FB">
        <w:rPr>
          <w:lang w:val="ru-RU"/>
        </w:rPr>
        <w:t>Использование методики контроля качества функционирования системы управления процессами калибровки эталонных мер обеспечило возможность достижения точности измерения высоты эталонной меры, сопоставимой с точностью эталонного метода интерферометрии</w:t>
      </w:r>
      <w:r w:rsidR="00950EFD">
        <w:rPr>
          <w:lang w:val="ru-RU"/>
        </w:rPr>
        <w:t>.</w:t>
      </w:r>
    </w:p>
    <w:p w:rsidR="00780E80" w:rsidRPr="00780E80" w:rsidRDefault="00780E80" w:rsidP="00780E80">
      <w:pPr>
        <w:ind w:firstLine="397"/>
        <w:rPr>
          <w:lang w:val="ru-RU"/>
        </w:rPr>
      </w:pPr>
    </w:p>
    <w:p w:rsidR="004576B7" w:rsidRPr="00085F61" w:rsidRDefault="004576B7" w:rsidP="004576B7">
      <w:pPr>
        <w:pStyle w:val="aa"/>
        <w:rPr>
          <w:sz w:val="18"/>
          <w:szCs w:val="18"/>
          <w:lang w:val="ru-RU"/>
        </w:rPr>
      </w:pPr>
    </w:p>
    <w:p w:rsidR="00DA0C9C" w:rsidRPr="00E25AE7" w:rsidRDefault="004576B7" w:rsidP="00E25AE7">
      <w:pPr>
        <w:spacing w:after="100"/>
        <w:jc w:val="center"/>
        <w:rPr>
          <w:b/>
          <w:sz w:val="18"/>
          <w:szCs w:val="18"/>
          <w:lang w:val="ru-RU"/>
        </w:rPr>
      </w:pPr>
      <w:r w:rsidRPr="00E25AE7">
        <w:rPr>
          <w:b/>
          <w:sz w:val="18"/>
          <w:szCs w:val="18"/>
          <w:lang w:val="ru-RU"/>
        </w:rPr>
        <w:t>Список литературы</w:t>
      </w:r>
    </w:p>
    <w:p w:rsidR="00A55AB6" w:rsidRPr="00A55AB6" w:rsidRDefault="00A55AB6" w:rsidP="004A30FB">
      <w:pPr>
        <w:pStyle w:val="ac"/>
        <w:numPr>
          <w:ilvl w:val="0"/>
          <w:numId w:val="4"/>
        </w:numPr>
        <w:rPr>
          <w:sz w:val="18"/>
          <w:szCs w:val="18"/>
        </w:rPr>
      </w:pPr>
      <w:proofErr w:type="spellStart"/>
      <w:r w:rsidRPr="00A55AB6">
        <w:rPr>
          <w:i/>
          <w:iCs/>
          <w:sz w:val="18"/>
          <w:szCs w:val="18"/>
        </w:rPr>
        <w:t>Antsyferov</w:t>
      </w:r>
      <w:proofErr w:type="spellEnd"/>
      <w:r w:rsidRPr="00A55AB6">
        <w:rPr>
          <w:i/>
          <w:iCs/>
          <w:sz w:val="18"/>
          <w:szCs w:val="18"/>
        </w:rPr>
        <w:t xml:space="preserve"> S.S., </w:t>
      </w:r>
      <w:proofErr w:type="spellStart"/>
      <w:r w:rsidRPr="00A55AB6">
        <w:rPr>
          <w:i/>
          <w:iCs/>
          <w:sz w:val="18"/>
          <w:szCs w:val="18"/>
        </w:rPr>
        <w:t>Karabanov</w:t>
      </w:r>
      <w:proofErr w:type="spellEnd"/>
      <w:r w:rsidRPr="00A55AB6">
        <w:rPr>
          <w:i/>
          <w:iCs/>
          <w:sz w:val="18"/>
          <w:szCs w:val="18"/>
        </w:rPr>
        <w:t xml:space="preserve"> D.A., </w:t>
      </w:r>
      <w:proofErr w:type="spellStart"/>
      <w:r w:rsidRPr="00A55AB6">
        <w:rPr>
          <w:i/>
          <w:iCs/>
          <w:sz w:val="18"/>
          <w:szCs w:val="18"/>
        </w:rPr>
        <w:t>Fazilova</w:t>
      </w:r>
      <w:proofErr w:type="spellEnd"/>
      <w:r w:rsidRPr="00A55AB6">
        <w:rPr>
          <w:i/>
          <w:iCs/>
          <w:sz w:val="18"/>
          <w:szCs w:val="18"/>
        </w:rPr>
        <w:t xml:space="preserve"> K.N., </w:t>
      </w:r>
      <w:proofErr w:type="spellStart"/>
      <w:r w:rsidRPr="00A55AB6">
        <w:rPr>
          <w:i/>
          <w:iCs/>
          <w:sz w:val="18"/>
          <w:szCs w:val="18"/>
        </w:rPr>
        <w:t>Rusanov</w:t>
      </w:r>
      <w:proofErr w:type="spellEnd"/>
      <w:r w:rsidRPr="00A55AB6">
        <w:rPr>
          <w:i/>
          <w:iCs/>
          <w:sz w:val="18"/>
          <w:szCs w:val="18"/>
        </w:rPr>
        <w:t xml:space="preserve"> K.E.</w:t>
      </w:r>
      <w:r w:rsidRPr="00A55AB6">
        <w:rPr>
          <w:sz w:val="18"/>
          <w:szCs w:val="18"/>
        </w:rPr>
        <w:t xml:space="preserve"> Reference gage calibration methods of probe </w:t>
      </w:r>
      <w:proofErr w:type="spellStart"/>
      <w:r w:rsidRPr="00A55AB6">
        <w:rPr>
          <w:sz w:val="18"/>
          <w:szCs w:val="18"/>
        </w:rPr>
        <w:t>nanometry</w:t>
      </w:r>
      <w:proofErr w:type="spellEnd"/>
      <w:r w:rsidRPr="00A55AB6">
        <w:rPr>
          <w:sz w:val="18"/>
          <w:szCs w:val="18"/>
        </w:rPr>
        <w:t xml:space="preserve"> systems // Journal of Physics: Conference Series. – 2021. –V. 1889. – Issue 4. – P. 042034.</w:t>
      </w:r>
    </w:p>
    <w:p w:rsidR="004A30FB" w:rsidRDefault="004A30FB" w:rsidP="004A30FB">
      <w:pPr>
        <w:pStyle w:val="ac"/>
        <w:numPr>
          <w:ilvl w:val="0"/>
          <w:numId w:val="4"/>
        </w:numPr>
        <w:rPr>
          <w:sz w:val="18"/>
          <w:szCs w:val="18"/>
        </w:rPr>
      </w:pPr>
      <w:proofErr w:type="spellStart"/>
      <w:r w:rsidRPr="004A30FB">
        <w:rPr>
          <w:i/>
          <w:sz w:val="18"/>
          <w:szCs w:val="18"/>
        </w:rPr>
        <w:t>Antsyferov</w:t>
      </w:r>
      <w:proofErr w:type="spellEnd"/>
      <w:r w:rsidRPr="004A30FB">
        <w:rPr>
          <w:i/>
          <w:sz w:val="18"/>
          <w:szCs w:val="18"/>
        </w:rPr>
        <w:t xml:space="preserve"> S.S., </w:t>
      </w:r>
      <w:proofErr w:type="spellStart"/>
      <w:r w:rsidRPr="004A30FB">
        <w:rPr>
          <w:i/>
          <w:sz w:val="18"/>
          <w:szCs w:val="18"/>
        </w:rPr>
        <w:t>Fazilova</w:t>
      </w:r>
      <w:proofErr w:type="spellEnd"/>
      <w:r w:rsidRPr="004A30FB">
        <w:rPr>
          <w:i/>
          <w:sz w:val="18"/>
          <w:szCs w:val="18"/>
        </w:rPr>
        <w:t xml:space="preserve"> K.N., </w:t>
      </w:r>
      <w:proofErr w:type="spellStart"/>
      <w:r w:rsidRPr="004A30FB">
        <w:rPr>
          <w:i/>
          <w:sz w:val="18"/>
          <w:szCs w:val="18"/>
        </w:rPr>
        <w:t>Rusanov</w:t>
      </w:r>
      <w:proofErr w:type="spellEnd"/>
      <w:r w:rsidRPr="004A30FB">
        <w:rPr>
          <w:i/>
          <w:sz w:val="18"/>
          <w:szCs w:val="18"/>
        </w:rPr>
        <w:t xml:space="preserve"> K.E.</w:t>
      </w:r>
      <w:r w:rsidRPr="004A30FB">
        <w:rPr>
          <w:sz w:val="18"/>
          <w:szCs w:val="18"/>
        </w:rPr>
        <w:t xml:space="preserve"> Method for controlling the cognitive systems functioning in non-equilibrium stability mode // Journal of Physics: Conference Series. – 2020. –V. 1679. – Issue 3. – P. 032068.</w:t>
      </w:r>
    </w:p>
    <w:p w:rsidR="00A55AB6" w:rsidRPr="00A55AB6" w:rsidRDefault="00A55AB6" w:rsidP="00A55AB6">
      <w:pPr>
        <w:pStyle w:val="ac"/>
        <w:numPr>
          <w:ilvl w:val="0"/>
          <w:numId w:val="4"/>
        </w:numPr>
        <w:rPr>
          <w:i/>
          <w:sz w:val="18"/>
          <w:szCs w:val="18"/>
        </w:rPr>
      </w:pPr>
      <w:r w:rsidRPr="00A55AB6">
        <w:rPr>
          <w:i/>
          <w:sz w:val="18"/>
          <w:szCs w:val="18"/>
        </w:rPr>
        <w:t xml:space="preserve">Анцыферов С.С., Фазилова К.Н. </w:t>
      </w:r>
      <w:proofErr w:type="spellStart"/>
      <w:r w:rsidRPr="00A55AB6">
        <w:rPr>
          <w:sz w:val="18"/>
          <w:szCs w:val="18"/>
        </w:rPr>
        <w:t>Методика</w:t>
      </w:r>
      <w:proofErr w:type="spellEnd"/>
      <w:r w:rsidRPr="00A55AB6">
        <w:rPr>
          <w:sz w:val="18"/>
          <w:szCs w:val="18"/>
        </w:rPr>
        <w:t xml:space="preserve"> </w:t>
      </w:r>
      <w:proofErr w:type="spellStart"/>
      <w:r w:rsidRPr="00A55AB6">
        <w:rPr>
          <w:sz w:val="18"/>
          <w:szCs w:val="18"/>
        </w:rPr>
        <w:t>оценки</w:t>
      </w:r>
      <w:proofErr w:type="spellEnd"/>
      <w:r w:rsidRPr="00A55AB6">
        <w:rPr>
          <w:sz w:val="18"/>
          <w:szCs w:val="18"/>
        </w:rPr>
        <w:t xml:space="preserve"> </w:t>
      </w:r>
      <w:proofErr w:type="spellStart"/>
      <w:r w:rsidRPr="00A55AB6">
        <w:rPr>
          <w:sz w:val="18"/>
          <w:szCs w:val="18"/>
        </w:rPr>
        <w:t>эффективности</w:t>
      </w:r>
      <w:proofErr w:type="spellEnd"/>
      <w:r w:rsidRPr="00A55AB6">
        <w:rPr>
          <w:sz w:val="18"/>
          <w:szCs w:val="18"/>
        </w:rPr>
        <w:t xml:space="preserve"> </w:t>
      </w:r>
      <w:proofErr w:type="spellStart"/>
      <w:r w:rsidRPr="00A55AB6">
        <w:rPr>
          <w:sz w:val="18"/>
          <w:szCs w:val="18"/>
        </w:rPr>
        <w:t>структурных</w:t>
      </w:r>
      <w:proofErr w:type="spellEnd"/>
      <w:r w:rsidRPr="00A55AB6">
        <w:rPr>
          <w:sz w:val="18"/>
          <w:szCs w:val="18"/>
        </w:rPr>
        <w:t xml:space="preserve"> </w:t>
      </w:r>
      <w:proofErr w:type="spellStart"/>
      <w:r w:rsidRPr="00A55AB6">
        <w:rPr>
          <w:sz w:val="18"/>
          <w:szCs w:val="18"/>
        </w:rPr>
        <w:t>элементов</w:t>
      </w:r>
      <w:proofErr w:type="spellEnd"/>
      <w:r w:rsidRPr="00A55AB6">
        <w:rPr>
          <w:sz w:val="18"/>
          <w:szCs w:val="18"/>
        </w:rPr>
        <w:t xml:space="preserve"> </w:t>
      </w:r>
      <w:proofErr w:type="spellStart"/>
      <w:r w:rsidRPr="00A55AB6">
        <w:rPr>
          <w:sz w:val="18"/>
          <w:szCs w:val="18"/>
        </w:rPr>
        <w:t>когнитивных</w:t>
      </w:r>
      <w:proofErr w:type="spellEnd"/>
      <w:r w:rsidRPr="00A55AB6">
        <w:rPr>
          <w:sz w:val="18"/>
          <w:szCs w:val="18"/>
        </w:rPr>
        <w:t xml:space="preserve"> </w:t>
      </w:r>
      <w:proofErr w:type="spellStart"/>
      <w:r w:rsidRPr="00A55AB6">
        <w:rPr>
          <w:sz w:val="18"/>
          <w:szCs w:val="18"/>
        </w:rPr>
        <w:t>систем</w:t>
      </w:r>
      <w:proofErr w:type="spellEnd"/>
      <w:r w:rsidRPr="00A55AB6">
        <w:rPr>
          <w:sz w:val="18"/>
          <w:szCs w:val="18"/>
        </w:rPr>
        <w:t xml:space="preserve"> в </w:t>
      </w:r>
      <w:proofErr w:type="spellStart"/>
      <w:r w:rsidRPr="00A55AB6">
        <w:rPr>
          <w:sz w:val="18"/>
          <w:szCs w:val="18"/>
        </w:rPr>
        <w:t>реальном</w:t>
      </w:r>
      <w:proofErr w:type="spellEnd"/>
      <w:r w:rsidRPr="00A55AB6">
        <w:rPr>
          <w:sz w:val="18"/>
          <w:szCs w:val="18"/>
        </w:rPr>
        <w:t xml:space="preserve"> </w:t>
      </w:r>
      <w:proofErr w:type="spellStart"/>
      <w:r w:rsidRPr="00A55AB6">
        <w:rPr>
          <w:sz w:val="18"/>
          <w:szCs w:val="18"/>
        </w:rPr>
        <w:t>масштабе</w:t>
      </w:r>
      <w:proofErr w:type="spellEnd"/>
      <w:r w:rsidRPr="00A55AB6">
        <w:rPr>
          <w:sz w:val="18"/>
          <w:szCs w:val="18"/>
        </w:rPr>
        <w:t xml:space="preserve"> </w:t>
      </w:r>
      <w:proofErr w:type="spellStart"/>
      <w:r w:rsidRPr="00A55AB6">
        <w:rPr>
          <w:sz w:val="18"/>
          <w:szCs w:val="18"/>
        </w:rPr>
        <w:t>времени</w:t>
      </w:r>
      <w:proofErr w:type="spellEnd"/>
      <w:r w:rsidRPr="00A55AB6">
        <w:rPr>
          <w:sz w:val="18"/>
          <w:szCs w:val="18"/>
        </w:rPr>
        <w:t xml:space="preserve"> // </w:t>
      </w:r>
      <w:proofErr w:type="spellStart"/>
      <w:r w:rsidRPr="00A55AB6">
        <w:rPr>
          <w:sz w:val="18"/>
          <w:szCs w:val="18"/>
        </w:rPr>
        <w:t>Нелинейный</w:t>
      </w:r>
      <w:proofErr w:type="spellEnd"/>
      <w:r w:rsidRPr="00A55AB6">
        <w:rPr>
          <w:sz w:val="18"/>
          <w:szCs w:val="18"/>
        </w:rPr>
        <w:t xml:space="preserve"> </w:t>
      </w:r>
      <w:proofErr w:type="spellStart"/>
      <w:r w:rsidRPr="00A55AB6">
        <w:rPr>
          <w:sz w:val="18"/>
          <w:szCs w:val="18"/>
        </w:rPr>
        <w:t>мир</w:t>
      </w:r>
      <w:proofErr w:type="spellEnd"/>
      <w:r w:rsidRPr="00A55AB6">
        <w:rPr>
          <w:sz w:val="18"/>
          <w:szCs w:val="18"/>
        </w:rPr>
        <w:t>. – 2020. – Т. 18. – № 3. – С. 33-41.</w:t>
      </w:r>
    </w:p>
    <w:p w:rsidR="003A316E" w:rsidRPr="00424056" w:rsidRDefault="003A316E" w:rsidP="00E25AE7">
      <w:pPr>
        <w:tabs>
          <w:tab w:val="left" w:pos="1973"/>
        </w:tabs>
        <w:spacing w:before="100"/>
        <w:jc w:val="right"/>
      </w:pPr>
    </w:p>
    <w:sectPr w:rsidR="003A316E" w:rsidRPr="00424056" w:rsidSect="0097419B">
      <w:headerReference w:type="default" r:id="rId16"/>
      <w:pgSz w:w="8391" w:h="11906"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61" w:rsidRDefault="008C2161" w:rsidP="004576B7">
      <w:r>
        <w:separator/>
      </w:r>
    </w:p>
  </w:endnote>
  <w:endnote w:type="continuationSeparator" w:id="0">
    <w:p w:rsidR="008C2161" w:rsidRDefault="008C2161" w:rsidP="0045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61" w:rsidRDefault="008C2161" w:rsidP="004576B7">
      <w:r>
        <w:separator/>
      </w:r>
    </w:p>
  </w:footnote>
  <w:footnote w:type="continuationSeparator" w:id="0">
    <w:p w:rsidR="008C2161" w:rsidRDefault="008C2161" w:rsidP="00457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6B7" w:rsidRPr="00067BBA" w:rsidRDefault="004576B7" w:rsidP="0097419B">
    <w:pPr>
      <w:pStyle w:val="af7"/>
      <w:ind w:firstLine="0"/>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3228A"/>
    <w:multiLevelType w:val="hybridMultilevel"/>
    <w:tmpl w:val="5B44D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7CD2707"/>
    <w:multiLevelType w:val="hybridMultilevel"/>
    <w:tmpl w:val="F196CD32"/>
    <w:lvl w:ilvl="0" w:tplc="F5267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756159D"/>
    <w:multiLevelType w:val="hybridMultilevel"/>
    <w:tmpl w:val="D1FA1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5B5AC5"/>
    <w:multiLevelType w:val="hybridMultilevel"/>
    <w:tmpl w:val="F190D93C"/>
    <w:lvl w:ilvl="0" w:tplc="F52671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8F85066"/>
    <w:multiLevelType w:val="hybridMultilevel"/>
    <w:tmpl w:val="48AC4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9C41E8A"/>
    <w:multiLevelType w:val="hybridMultilevel"/>
    <w:tmpl w:val="1BD4D656"/>
    <w:lvl w:ilvl="0" w:tplc="0419000F">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00"/>
    <w:rsid w:val="00007F01"/>
    <w:rsid w:val="00020C14"/>
    <w:rsid w:val="000377E8"/>
    <w:rsid w:val="00050CEB"/>
    <w:rsid w:val="0005669F"/>
    <w:rsid w:val="00057C76"/>
    <w:rsid w:val="00066D5F"/>
    <w:rsid w:val="00067619"/>
    <w:rsid w:val="00067BBA"/>
    <w:rsid w:val="00074997"/>
    <w:rsid w:val="00083F0D"/>
    <w:rsid w:val="00085F61"/>
    <w:rsid w:val="0009125A"/>
    <w:rsid w:val="000914E3"/>
    <w:rsid w:val="00094BAE"/>
    <w:rsid w:val="000A4942"/>
    <w:rsid w:val="000B4054"/>
    <w:rsid w:val="000C3D77"/>
    <w:rsid w:val="000D2C0E"/>
    <w:rsid w:val="00100840"/>
    <w:rsid w:val="001017E3"/>
    <w:rsid w:val="001B7F6F"/>
    <w:rsid w:val="001D1DA6"/>
    <w:rsid w:val="001F3110"/>
    <w:rsid w:val="001F386E"/>
    <w:rsid w:val="002040D6"/>
    <w:rsid w:val="00213D81"/>
    <w:rsid w:val="00215E72"/>
    <w:rsid w:val="002210EB"/>
    <w:rsid w:val="002539AA"/>
    <w:rsid w:val="0026293C"/>
    <w:rsid w:val="00264C5E"/>
    <w:rsid w:val="00281EB8"/>
    <w:rsid w:val="002B2AB6"/>
    <w:rsid w:val="002B3F32"/>
    <w:rsid w:val="00312D70"/>
    <w:rsid w:val="00316300"/>
    <w:rsid w:val="00323BB7"/>
    <w:rsid w:val="00326B56"/>
    <w:rsid w:val="00344BBB"/>
    <w:rsid w:val="003579E6"/>
    <w:rsid w:val="00362AF0"/>
    <w:rsid w:val="00362CBF"/>
    <w:rsid w:val="003631DA"/>
    <w:rsid w:val="003A03EE"/>
    <w:rsid w:val="003A316E"/>
    <w:rsid w:val="003B4926"/>
    <w:rsid w:val="003E066F"/>
    <w:rsid w:val="003F52B5"/>
    <w:rsid w:val="00405C36"/>
    <w:rsid w:val="00410901"/>
    <w:rsid w:val="0041275E"/>
    <w:rsid w:val="00424056"/>
    <w:rsid w:val="004317EA"/>
    <w:rsid w:val="004351F3"/>
    <w:rsid w:val="00440A10"/>
    <w:rsid w:val="004550AC"/>
    <w:rsid w:val="004576B7"/>
    <w:rsid w:val="00481558"/>
    <w:rsid w:val="00486333"/>
    <w:rsid w:val="00490E2A"/>
    <w:rsid w:val="004A30FB"/>
    <w:rsid w:val="004B214E"/>
    <w:rsid w:val="004D70D8"/>
    <w:rsid w:val="004D7814"/>
    <w:rsid w:val="004F3C6A"/>
    <w:rsid w:val="004F60D9"/>
    <w:rsid w:val="00514C88"/>
    <w:rsid w:val="005247AA"/>
    <w:rsid w:val="00562601"/>
    <w:rsid w:val="00572BD1"/>
    <w:rsid w:val="00580823"/>
    <w:rsid w:val="00585763"/>
    <w:rsid w:val="0059608B"/>
    <w:rsid w:val="005A5BA3"/>
    <w:rsid w:val="005B05C4"/>
    <w:rsid w:val="005B446B"/>
    <w:rsid w:val="005C0930"/>
    <w:rsid w:val="005D1672"/>
    <w:rsid w:val="005E3B2A"/>
    <w:rsid w:val="00613C53"/>
    <w:rsid w:val="00625F39"/>
    <w:rsid w:val="006327AB"/>
    <w:rsid w:val="00634735"/>
    <w:rsid w:val="006437C6"/>
    <w:rsid w:val="00666B03"/>
    <w:rsid w:val="006721AF"/>
    <w:rsid w:val="00680900"/>
    <w:rsid w:val="00683B84"/>
    <w:rsid w:val="00683C6B"/>
    <w:rsid w:val="0069410D"/>
    <w:rsid w:val="00707E97"/>
    <w:rsid w:val="007230E0"/>
    <w:rsid w:val="00753292"/>
    <w:rsid w:val="00753B8E"/>
    <w:rsid w:val="00766FDD"/>
    <w:rsid w:val="00780E80"/>
    <w:rsid w:val="00790BF1"/>
    <w:rsid w:val="007A58E3"/>
    <w:rsid w:val="007B58DF"/>
    <w:rsid w:val="007C4610"/>
    <w:rsid w:val="007C52A7"/>
    <w:rsid w:val="007F2559"/>
    <w:rsid w:val="00802F57"/>
    <w:rsid w:val="00805F4B"/>
    <w:rsid w:val="00806A25"/>
    <w:rsid w:val="0084106A"/>
    <w:rsid w:val="008508FC"/>
    <w:rsid w:val="00861615"/>
    <w:rsid w:val="00872A9F"/>
    <w:rsid w:val="008746D4"/>
    <w:rsid w:val="00877B93"/>
    <w:rsid w:val="00884772"/>
    <w:rsid w:val="008A4F35"/>
    <w:rsid w:val="008C2161"/>
    <w:rsid w:val="008C259A"/>
    <w:rsid w:val="008D2BF4"/>
    <w:rsid w:val="008E0123"/>
    <w:rsid w:val="0091331A"/>
    <w:rsid w:val="009276DC"/>
    <w:rsid w:val="00950EFD"/>
    <w:rsid w:val="009540B7"/>
    <w:rsid w:val="0096159A"/>
    <w:rsid w:val="00961E88"/>
    <w:rsid w:val="0097419B"/>
    <w:rsid w:val="009957A7"/>
    <w:rsid w:val="009A2058"/>
    <w:rsid w:val="009C6E6F"/>
    <w:rsid w:val="009D6D91"/>
    <w:rsid w:val="009F13B5"/>
    <w:rsid w:val="00A05DC0"/>
    <w:rsid w:val="00A1247C"/>
    <w:rsid w:val="00A272AA"/>
    <w:rsid w:val="00A340F4"/>
    <w:rsid w:val="00A46788"/>
    <w:rsid w:val="00A50158"/>
    <w:rsid w:val="00A51A1D"/>
    <w:rsid w:val="00A55AB6"/>
    <w:rsid w:val="00A57938"/>
    <w:rsid w:val="00A8485B"/>
    <w:rsid w:val="00A93937"/>
    <w:rsid w:val="00A94924"/>
    <w:rsid w:val="00AA6C84"/>
    <w:rsid w:val="00AD6DA5"/>
    <w:rsid w:val="00AD74D9"/>
    <w:rsid w:val="00AE062F"/>
    <w:rsid w:val="00AE091E"/>
    <w:rsid w:val="00AE3CBC"/>
    <w:rsid w:val="00AE5366"/>
    <w:rsid w:val="00B11DD8"/>
    <w:rsid w:val="00B21C65"/>
    <w:rsid w:val="00B365CF"/>
    <w:rsid w:val="00B7433A"/>
    <w:rsid w:val="00B75AA2"/>
    <w:rsid w:val="00B87C31"/>
    <w:rsid w:val="00BB038C"/>
    <w:rsid w:val="00BC057B"/>
    <w:rsid w:val="00BC3483"/>
    <w:rsid w:val="00BE5B00"/>
    <w:rsid w:val="00BF260B"/>
    <w:rsid w:val="00BF5989"/>
    <w:rsid w:val="00C07F54"/>
    <w:rsid w:val="00C23B91"/>
    <w:rsid w:val="00C3298C"/>
    <w:rsid w:val="00C54B88"/>
    <w:rsid w:val="00C75665"/>
    <w:rsid w:val="00C77498"/>
    <w:rsid w:val="00C83AA4"/>
    <w:rsid w:val="00C90A06"/>
    <w:rsid w:val="00CB402F"/>
    <w:rsid w:val="00CC3E67"/>
    <w:rsid w:val="00D0260D"/>
    <w:rsid w:val="00D036D0"/>
    <w:rsid w:val="00D10A0A"/>
    <w:rsid w:val="00D1466A"/>
    <w:rsid w:val="00D36B4C"/>
    <w:rsid w:val="00D466E2"/>
    <w:rsid w:val="00D63F32"/>
    <w:rsid w:val="00D81FF9"/>
    <w:rsid w:val="00D83984"/>
    <w:rsid w:val="00D84EB6"/>
    <w:rsid w:val="00D870ED"/>
    <w:rsid w:val="00D91894"/>
    <w:rsid w:val="00D97BCC"/>
    <w:rsid w:val="00DA0C9C"/>
    <w:rsid w:val="00DA2B40"/>
    <w:rsid w:val="00DD768A"/>
    <w:rsid w:val="00DF3E74"/>
    <w:rsid w:val="00E02FAD"/>
    <w:rsid w:val="00E064B3"/>
    <w:rsid w:val="00E23831"/>
    <w:rsid w:val="00E2438C"/>
    <w:rsid w:val="00E25AE7"/>
    <w:rsid w:val="00E44531"/>
    <w:rsid w:val="00E7167F"/>
    <w:rsid w:val="00E85CB1"/>
    <w:rsid w:val="00ED3783"/>
    <w:rsid w:val="00F2125B"/>
    <w:rsid w:val="00F43BD8"/>
    <w:rsid w:val="00F47F58"/>
    <w:rsid w:val="00F57442"/>
    <w:rsid w:val="00F6491B"/>
    <w:rsid w:val="00F75B6F"/>
    <w:rsid w:val="00F96A57"/>
    <w:rsid w:val="00FB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917C9F"/>
  <w15:docId w15:val="{234C6167-99AC-497B-8526-EAEAA45C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00"/>
    <w:pPr>
      <w:spacing w:after="0" w:line="240" w:lineRule="auto"/>
      <w:ind w:firstLine="709"/>
      <w:jc w:val="both"/>
    </w:pPr>
    <w:rPr>
      <w:rFonts w:ascii="Times New Roman" w:hAnsi="Times New Roman" w:cstheme="majorBidi"/>
      <w:sz w:val="20"/>
    </w:rPr>
  </w:style>
  <w:style w:type="paragraph" w:styleId="1">
    <w:name w:val="heading 1"/>
    <w:basedOn w:val="a"/>
    <w:next w:val="a"/>
    <w:link w:val="10"/>
    <w:uiPriority w:val="9"/>
    <w:qFormat/>
    <w:rsid w:val="0059608B"/>
    <w:pPr>
      <w:keepNext/>
      <w:keepLines/>
      <w:spacing w:before="480"/>
      <w:outlineLvl w:val="0"/>
    </w:pPr>
    <w:rPr>
      <w:rFonts w:eastAsiaTheme="majorEastAsia"/>
      <w:b/>
      <w:bCs/>
      <w:szCs w:val="28"/>
    </w:rPr>
  </w:style>
  <w:style w:type="paragraph" w:styleId="2">
    <w:name w:val="heading 2"/>
    <w:basedOn w:val="a"/>
    <w:next w:val="a"/>
    <w:link w:val="20"/>
    <w:uiPriority w:val="9"/>
    <w:unhideWhenUsed/>
    <w:qFormat/>
    <w:rsid w:val="004576B7"/>
    <w:pPr>
      <w:keepNext/>
      <w:keepLines/>
      <w:spacing w:before="200"/>
      <w:outlineLvl w:val="1"/>
    </w:pPr>
    <w:rPr>
      <w:rFonts w:eastAsiaTheme="majorEastAsia"/>
      <w:b/>
      <w:bCs/>
      <w:szCs w:val="26"/>
    </w:rPr>
  </w:style>
  <w:style w:type="paragraph" w:styleId="3">
    <w:name w:val="heading 3"/>
    <w:basedOn w:val="a"/>
    <w:next w:val="a"/>
    <w:link w:val="30"/>
    <w:uiPriority w:val="9"/>
    <w:semiHidden/>
    <w:unhideWhenUsed/>
    <w:qFormat/>
    <w:rsid w:val="003579E6"/>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3579E6"/>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3579E6"/>
    <w:pPr>
      <w:keepNext/>
      <w:keepLines/>
      <w:spacing w:before="20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semiHidden/>
    <w:unhideWhenUsed/>
    <w:qFormat/>
    <w:rsid w:val="003579E6"/>
    <w:pPr>
      <w:keepNext/>
      <w:keepLines/>
      <w:spacing w:before="200"/>
      <w:outlineLvl w:val="5"/>
    </w:pPr>
    <w:rPr>
      <w:rFonts w:asciiTheme="majorHAnsi" w:eastAsiaTheme="majorEastAsia" w:hAnsiTheme="majorHAnsi"/>
      <w:i/>
      <w:iCs/>
      <w:color w:val="243F60" w:themeColor="accent1" w:themeShade="7F"/>
    </w:rPr>
  </w:style>
  <w:style w:type="paragraph" w:styleId="7">
    <w:name w:val="heading 7"/>
    <w:basedOn w:val="a"/>
    <w:next w:val="a"/>
    <w:link w:val="70"/>
    <w:uiPriority w:val="9"/>
    <w:semiHidden/>
    <w:unhideWhenUsed/>
    <w:qFormat/>
    <w:rsid w:val="003579E6"/>
    <w:pPr>
      <w:keepNext/>
      <w:keepLines/>
      <w:spacing w:before="20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
    <w:semiHidden/>
    <w:unhideWhenUsed/>
    <w:qFormat/>
    <w:rsid w:val="003579E6"/>
    <w:pPr>
      <w:keepNext/>
      <w:keepLines/>
      <w:spacing w:before="200"/>
      <w:outlineLvl w:val="7"/>
    </w:pPr>
    <w:rPr>
      <w:rFonts w:asciiTheme="majorHAnsi" w:eastAsiaTheme="majorEastAsia" w:hAnsiTheme="majorHAnsi"/>
      <w:color w:val="4F81BD" w:themeColor="accent1"/>
    </w:rPr>
  </w:style>
  <w:style w:type="paragraph" w:styleId="9">
    <w:name w:val="heading 9"/>
    <w:basedOn w:val="a"/>
    <w:next w:val="a"/>
    <w:link w:val="90"/>
    <w:uiPriority w:val="9"/>
    <w:semiHidden/>
    <w:unhideWhenUsed/>
    <w:qFormat/>
    <w:rsid w:val="003579E6"/>
    <w:pPr>
      <w:keepNext/>
      <w:keepLines/>
      <w:spacing w:before="200"/>
      <w:outlineLvl w:val="8"/>
    </w:pPr>
    <w:rPr>
      <w:rFonts w:asciiTheme="majorHAnsi" w:eastAsiaTheme="majorEastAsia" w:hAnsiTheme="majorHAns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08B"/>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4576B7"/>
    <w:rPr>
      <w:rFonts w:ascii="Times New Roman" w:eastAsiaTheme="majorEastAsia" w:hAnsi="Times New Roman" w:cstheme="majorBidi"/>
      <w:b/>
      <w:bCs/>
      <w:sz w:val="20"/>
      <w:szCs w:val="26"/>
    </w:rPr>
  </w:style>
  <w:style w:type="character" w:customStyle="1" w:styleId="30">
    <w:name w:val="Заголовок 3 Знак"/>
    <w:basedOn w:val="a0"/>
    <w:link w:val="3"/>
    <w:uiPriority w:val="9"/>
    <w:rsid w:val="003579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579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579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579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579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579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579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579E6"/>
    <w:rPr>
      <w:b/>
      <w:bCs/>
      <w:color w:val="4F81BD" w:themeColor="accent1"/>
      <w:sz w:val="18"/>
      <w:szCs w:val="18"/>
    </w:rPr>
  </w:style>
  <w:style w:type="paragraph" w:styleId="a4">
    <w:name w:val="Title"/>
    <w:basedOn w:val="a"/>
    <w:next w:val="a"/>
    <w:link w:val="a5"/>
    <w:uiPriority w:val="10"/>
    <w:qFormat/>
    <w:rsid w:val="003579E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a5">
    <w:name w:val="Заголовок Знак"/>
    <w:basedOn w:val="a0"/>
    <w:link w:val="a4"/>
    <w:uiPriority w:val="10"/>
    <w:rsid w:val="003579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579E6"/>
    <w:pPr>
      <w:numPr>
        <w:ilvl w:val="1"/>
      </w:numPr>
      <w:ind w:firstLine="709"/>
    </w:pPr>
    <w:rPr>
      <w:rFonts w:asciiTheme="majorHAnsi" w:eastAsiaTheme="majorEastAsia" w:hAnsiTheme="majorHAnsi"/>
      <w:i/>
      <w:iCs/>
      <w:color w:val="4F81BD" w:themeColor="accent1"/>
      <w:spacing w:val="15"/>
      <w:sz w:val="24"/>
      <w:szCs w:val="24"/>
    </w:rPr>
  </w:style>
  <w:style w:type="character" w:customStyle="1" w:styleId="a7">
    <w:name w:val="Подзаголовок Знак"/>
    <w:basedOn w:val="a0"/>
    <w:link w:val="a6"/>
    <w:uiPriority w:val="11"/>
    <w:rsid w:val="003579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579E6"/>
    <w:rPr>
      <w:b/>
      <w:bCs/>
    </w:rPr>
  </w:style>
  <w:style w:type="character" w:styleId="a9">
    <w:name w:val="Emphasis"/>
    <w:basedOn w:val="a0"/>
    <w:uiPriority w:val="20"/>
    <w:qFormat/>
    <w:rsid w:val="003579E6"/>
    <w:rPr>
      <w:i/>
      <w:iCs/>
    </w:rPr>
  </w:style>
  <w:style w:type="paragraph" w:styleId="aa">
    <w:name w:val="No Spacing"/>
    <w:link w:val="ab"/>
    <w:uiPriority w:val="1"/>
    <w:qFormat/>
    <w:rsid w:val="0059608B"/>
    <w:pPr>
      <w:spacing w:after="0" w:line="240" w:lineRule="auto"/>
    </w:pPr>
    <w:rPr>
      <w:rFonts w:ascii="Times New Roman" w:hAnsi="Times New Roman"/>
      <w:sz w:val="24"/>
    </w:rPr>
  </w:style>
  <w:style w:type="paragraph" w:styleId="ac">
    <w:name w:val="List Paragraph"/>
    <w:basedOn w:val="a"/>
    <w:uiPriority w:val="34"/>
    <w:qFormat/>
    <w:rsid w:val="003579E6"/>
    <w:pPr>
      <w:ind w:left="720"/>
      <w:contextualSpacing/>
    </w:pPr>
  </w:style>
  <w:style w:type="paragraph" w:styleId="21">
    <w:name w:val="Quote"/>
    <w:basedOn w:val="a"/>
    <w:next w:val="a"/>
    <w:link w:val="22"/>
    <w:uiPriority w:val="29"/>
    <w:qFormat/>
    <w:rsid w:val="003579E6"/>
    <w:rPr>
      <w:i/>
      <w:iCs/>
      <w:color w:val="000000" w:themeColor="text1"/>
    </w:rPr>
  </w:style>
  <w:style w:type="character" w:customStyle="1" w:styleId="22">
    <w:name w:val="Цитата 2 Знак"/>
    <w:basedOn w:val="a0"/>
    <w:link w:val="21"/>
    <w:uiPriority w:val="29"/>
    <w:rsid w:val="003579E6"/>
    <w:rPr>
      <w:i/>
      <w:iCs/>
      <w:color w:val="000000" w:themeColor="text1"/>
    </w:rPr>
  </w:style>
  <w:style w:type="paragraph" w:styleId="ad">
    <w:name w:val="Intense Quote"/>
    <w:basedOn w:val="a"/>
    <w:next w:val="a"/>
    <w:link w:val="ae"/>
    <w:uiPriority w:val="30"/>
    <w:qFormat/>
    <w:rsid w:val="003579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579E6"/>
    <w:rPr>
      <w:b/>
      <w:bCs/>
      <w:i/>
      <w:iCs/>
      <w:color w:val="4F81BD" w:themeColor="accent1"/>
    </w:rPr>
  </w:style>
  <w:style w:type="character" w:styleId="af">
    <w:name w:val="Subtle Emphasis"/>
    <w:basedOn w:val="a0"/>
    <w:uiPriority w:val="19"/>
    <w:qFormat/>
    <w:rsid w:val="003579E6"/>
    <w:rPr>
      <w:i/>
      <w:iCs/>
      <w:color w:val="808080" w:themeColor="text1" w:themeTint="7F"/>
    </w:rPr>
  </w:style>
  <w:style w:type="character" w:styleId="af0">
    <w:name w:val="Intense Emphasis"/>
    <w:basedOn w:val="a0"/>
    <w:uiPriority w:val="21"/>
    <w:qFormat/>
    <w:rsid w:val="003579E6"/>
    <w:rPr>
      <w:b/>
      <w:bCs/>
      <w:i/>
      <w:iCs/>
      <w:color w:val="4F81BD" w:themeColor="accent1"/>
    </w:rPr>
  </w:style>
  <w:style w:type="character" w:styleId="af1">
    <w:name w:val="Subtle Reference"/>
    <w:basedOn w:val="a0"/>
    <w:uiPriority w:val="31"/>
    <w:qFormat/>
    <w:rsid w:val="003579E6"/>
    <w:rPr>
      <w:smallCaps/>
      <w:color w:val="C0504D" w:themeColor="accent2"/>
      <w:u w:val="single"/>
    </w:rPr>
  </w:style>
  <w:style w:type="character" w:styleId="af2">
    <w:name w:val="Intense Reference"/>
    <w:basedOn w:val="a0"/>
    <w:uiPriority w:val="32"/>
    <w:qFormat/>
    <w:rsid w:val="003579E6"/>
    <w:rPr>
      <w:b/>
      <w:bCs/>
      <w:smallCaps/>
      <w:color w:val="C0504D" w:themeColor="accent2"/>
      <w:spacing w:val="5"/>
      <w:u w:val="single"/>
    </w:rPr>
  </w:style>
  <w:style w:type="character" w:styleId="af3">
    <w:name w:val="Book Title"/>
    <w:basedOn w:val="a0"/>
    <w:uiPriority w:val="33"/>
    <w:qFormat/>
    <w:rsid w:val="003579E6"/>
    <w:rPr>
      <w:b/>
      <w:bCs/>
      <w:smallCaps/>
      <w:spacing w:val="5"/>
    </w:rPr>
  </w:style>
  <w:style w:type="paragraph" w:styleId="af4">
    <w:name w:val="TOC Heading"/>
    <w:basedOn w:val="1"/>
    <w:next w:val="a"/>
    <w:uiPriority w:val="39"/>
    <w:semiHidden/>
    <w:unhideWhenUsed/>
    <w:qFormat/>
    <w:rsid w:val="003579E6"/>
    <w:pPr>
      <w:outlineLvl w:val="9"/>
    </w:pPr>
  </w:style>
  <w:style w:type="character" w:customStyle="1" w:styleId="ab">
    <w:name w:val="Без интервала Знак"/>
    <w:basedOn w:val="a0"/>
    <w:link w:val="aa"/>
    <w:uiPriority w:val="1"/>
    <w:rsid w:val="0059608B"/>
    <w:rPr>
      <w:rFonts w:ascii="Times New Roman" w:hAnsi="Times New Roman"/>
      <w:sz w:val="24"/>
    </w:rPr>
  </w:style>
  <w:style w:type="paragraph" w:styleId="af5">
    <w:name w:val="Balloon Text"/>
    <w:basedOn w:val="a"/>
    <w:link w:val="af6"/>
    <w:uiPriority w:val="99"/>
    <w:semiHidden/>
    <w:unhideWhenUsed/>
    <w:rsid w:val="004576B7"/>
    <w:rPr>
      <w:rFonts w:ascii="Tahoma" w:hAnsi="Tahoma" w:cs="Tahoma"/>
      <w:sz w:val="16"/>
      <w:szCs w:val="16"/>
    </w:rPr>
  </w:style>
  <w:style w:type="character" w:customStyle="1" w:styleId="af6">
    <w:name w:val="Текст выноски Знак"/>
    <w:basedOn w:val="a0"/>
    <w:link w:val="af5"/>
    <w:uiPriority w:val="99"/>
    <w:semiHidden/>
    <w:rsid w:val="004576B7"/>
    <w:rPr>
      <w:rFonts w:ascii="Tahoma" w:hAnsi="Tahoma" w:cs="Tahoma"/>
      <w:sz w:val="16"/>
      <w:szCs w:val="16"/>
    </w:rPr>
  </w:style>
  <w:style w:type="paragraph" w:styleId="af7">
    <w:name w:val="header"/>
    <w:basedOn w:val="a"/>
    <w:link w:val="af8"/>
    <w:uiPriority w:val="99"/>
    <w:unhideWhenUsed/>
    <w:rsid w:val="004576B7"/>
    <w:pPr>
      <w:tabs>
        <w:tab w:val="center" w:pos="4677"/>
        <w:tab w:val="right" w:pos="9355"/>
      </w:tabs>
    </w:pPr>
  </w:style>
  <w:style w:type="character" w:customStyle="1" w:styleId="af8">
    <w:name w:val="Верхний колонтитул Знак"/>
    <w:basedOn w:val="a0"/>
    <w:link w:val="af7"/>
    <w:uiPriority w:val="99"/>
    <w:rsid w:val="004576B7"/>
    <w:rPr>
      <w:rFonts w:ascii="Times New Roman" w:hAnsi="Times New Roman" w:cstheme="majorBidi"/>
      <w:sz w:val="20"/>
    </w:rPr>
  </w:style>
  <w:style w:type="paragraph" w:styleId="af9">
    <w:name w:val="footer"/>
    <w:basedOn w:val="a"/>
    <w:link w:val="afa"/>
    <w:uiPriority w:val="99"/>
    <w:unhideWhenUsed/>
    <w:rsid w:val="004576B7"/>
    <w:pPr>
      <w:tabs>
        <w:tab w:val="center" w:pos="4677"/>
        <w:tab w:val="right" w:pos="9355"/>
      </w:tabs>
    </w:pPr>
  </w:style>
  <w:style w:type="character" w:customStyle="1" w:styleId="afa">
    <w:name w:val="Нижний колонтитул Знак"/>
    <w:basedOn w:val="a0"/>
    <w:link w:val="af9"/>
    <w:uiPriority w:val="99"/>
    <w:rsid w:val="004576B7"/>
    <w:rPr>
      <w:rFonts w:ascii="Times New Roman" w:hAnsi="Times New Roman" w:cstheme="majorBidi"/>
      <w:sz w:val="20"/>
    </w:rPr>
  </w:style>
  <w:style w:type="character" w:styleId="afb">
    <w:name w:val="Hyperlink"/>
    <w:basedOn w:val="a0"/>
    <w:uiPriority w:val="99"/>
    <w:unhideWhenUsed/>
    <w:rsid w:val="00F75B6F"/>
    <w:rPr>
      <w:color w:val="0000FF"/>
      <w:u w:val="single"/>
    </w:rPr>
  </w:style>
  <w:style w:type="table" w:styleId="afc">
    <w:name w:val="Table Grid"/>
    <w:basedOn w:val="a1"/>
    <w:uiPriority w:val="59"/>
    <w:rsid w:val="0087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6327AB"/>
    <w:rPr>
      <w:color w:val="808080"/>
    </w:rPr>
  </w:style>
  <w:style w:type="character" w:customStyle="1" w:styleId="tlid-translation">
    <w:name w:val="tlid-translation"/>
    <w:basedOn w:val="a0"/>
    <w:rsid w:val="0003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68738">
      <w:bodyDiv w:val="1"/>
      <w:marLeft w:val="0"/>
      <w:marRight w:val="0"/>
      <w:marTop w:val="0"/>
      <w:marBottom w:val="0"/>
      <w:divBdr>
        <w:top w:val="none" w:sz="0" w:space="0" w:color="auto"/>
        <w:left w:val="none" w:sz="0" w:space="0" w:color="auto"/>
        <w:bottom w:val="none" w:sz="0" w:space="0" w:color="auto"/>
        <w:right w:val="none" w:sz="0" w:space="0" w:color="auto"/>
      </w:divBdr>
    </w:div>
    <w:div w:id="975912825">
      <w:bodyDiv w:val="1"/>
      <w:marLeft w:val="0"/>
      <w:marRight w:val="0"/>
      <w:marTop w:val="0"/>
      <w:marBottom w:val="0"/>
      <w:divBdr>
        <w:top w:val="none" w:sz="0" w:space="0" w:color="auto"/>
        <w:left w:val="none" w:sz="0" w:space="0" w:color="auto"/>
        <w:bottom w:val="none" w:sz="0" w:space="0" w:color="auto"/>
        <w:right w:val="none" w:sz="0" w:space="0" w:color="auto"/>
      </w:divBdr>
    </w:div>
    <w:div w:id="13579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AppData\Roaming\Microsoft\&#1064;&#1072;&#1073;&#1083;&#1086;&#1085;&#1099;\Normal1.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84C0-D374-4689-BF51-520D21AB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389</TotalTime>
  <Pages>4</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44</cp:revision>
  <cp:lastPrinted>2020-10-08T09:34:00Z</cp:lastPrinted>
  <dcterms:created xsi:type="dcterms:W3CDTF">2020-09-24T08:59:00Z</dcterms:created>
  <dcterms:modified xsi:type="dcterms:W3CDTF">2021-10-07T07:23:00Z</dcterms:modified>
</cp:coreProperties>
</file>