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68" w:rsidRPr="00640D16" w:rsidRDefault="00BB2B68" w:rsidP="00130F13">
      <w:pPr>
        <w:widowControl w:val="0"/>
        <w:spacing w:after="200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>УДК 621.3</w:t>
      </w:r>
    </w:p>
    <w:p w:rsidR="00BB2B68" w:rsidRPr="005A01C1" w:rsidRDefault="00BB2B68" w:rsidP="00130F13">
      <w:pPr>
        <w:widowControl w:val="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>
        <w:rPr>
          <w:rFonts w:ascii="Times New Roman" w:eastAsia="Calibri" w:hAnsi="Times New Roman"/>
          <w:sz w:val="20"/>
          <w:szCs w:val="22"/>
          <w:lang w:eastAsia="en-US"/>
        </w:rPr>
        <w:t>М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.</w:t>
      </w:r>
      <w:r>
        <w:rPr>
          <w:rFonts w:ascii="Times New Roman" w:eastAsia="Calibri" w:hAnsi="Times New Roman"/>
          <w:sz w:val="20"/>
          <w:szCs w:val="22"/>
          <w:lang w:eastAsia="en-US"/>
        </w:rPr>
        <w:t>В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. </w:t>
      </w:r>
      <w:r>
        <w:rPr>
          <w:rFonts w:ascii="Times New Roman" w:eastAsia="Calibri" w:hAnsi="Times New Roman"/>
          <w:sz w:val="20"/>
          <w:szCs w:val="22"/>
          <w:lang w:eastAsia="en-US"/>
        </w:rPr>
        <w:t>Ярославцев, О.А</w:t>
      </w:r>
      <w:r w:rsidR="00902F3E">
        <w:rPr>
          <w:rFonts w:ascii="Times New Roman" w:eastAsia="Calibri" w:hAnsi="Times New Roman"/>
          <w:sz w:val="20"/>
          <w:szCs w:val="22"/>
          <w:lang w:eastAsia="en-US"/>
        </w:rPr>
        <w:t xml:space="preserve">. </w:t>
      </w:r>
      <w:r>
        <w:rPr>
          <w:rFonts w:ascii="Times New Roman" w:eastAsia="Calibri" w:hAnsi="Times New Roman"/>
          <w:sz w:val="20"/>
          <w:szCs w:val="22"/>
          <w:lang w:eastAsia="en-US"/>
        </w:rPr>
        <w:t>Ефимова</w:t>
      </w:r>
    </w:p>
    <w:p w:rsidR="00BB2B68" w:rsidRPr="006966EA" w:rsidRDefault="00BB2B68" w:rsidP="00130F13">
      <w:pPr>
        <w:widowControl w:val="0"/>
        <w:ind w:firstLine="0"/>
        <w:jc w:val="center"/>
        <w:rPr>
          <w:rFonts w:ascii="Times New Roman" w:eastAsia="Calibri" w:hAnsi="Times New Roman"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(г. </w:t>
      </w:r>
      <w:r>
        <w:rPr>
          <w:rFonts w:ascii="Times New Roman" w:eastAsia="Calibri" w:hAnsi="Times New Roman"/>
          <w:sz w:val="20"/>
          <w:szCs w:val="22"/>
          <w:lang w:eastAsia="en-US"/>
        </w:rPr>
        <w:t>Новосибирск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 xml:space="preserve">, </w:t>
      </w:r>
      <w:r>
        <w:rPr>
          <w:rFonts w:ascii="Times New Roman" w:eastAsia="Calibri" w:hAnsi="Times New Roman"/>
          <w:sz w:val="20"/>
          <w:szCs w:val="22"/>
          <w:lang w:eastAsia="en-US"/>
        </w:rPr>
        <w:t xml:space="preserve">ФГБОУ </w:t>
      </w:r>
      <w:proofErr w:type="gramStart"/>
      <w:r>
        <w:rPr>
          <w:rFonts w:ascii="Times New Roman" w:eastAsia="Calibri" w:hAnsi="Times New Roman"/>
          <w:sz w:val="20"/>
          <w:szCs w:val="22"/>
          <w:lang w:eastAsia="en-US"/>
        </w:rPr>
        <w:t>ВО</w:t>
      </w:r>
      <w:proofErr w:type="gramEnd"/>
      <w:r>
        <w:rPr>
          <w:rFonts w:ascii="Times New Roman" w:eastAsia="Calibri" w:hAnsi="Times New Roman"/>
          <w:sz w:val="20"/>
          <w:szCs w:val="22"/>
          <w:lang w:eastAsia="en-US"/>
        </w:rPr>
        <w:t xml:space="preserve"> </w:t>
      </w:r>
      <w:r w:rsidR="00B702F6">
        <w:rPr>
          <w:rFonts w:ascii="Times New Roman" w:eastAsia="Calibri" w:hAnsi="Times New Roman"/>
          <w:sz w:val="20"/>
          <w:szCs w:val="22"/>
          <w:lang w:eastAsia="en-US"/>
        </w:rPr>
        <w:br/>
      </w:r>
      <w:r>
        <w:rPr>
          <w:rFonts w:ascii="Times New Roman" w:eastAsia="Calibri" w:hAnsi="Times New Roman"/>
          <w:sz w:val="20"/>
          <w:szCs w:val="22"/>
          <w:lang w:eastAsia="en-US"/>
        </w:rPr>
        <w:t>«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Н</w:t>
      </w:r>
      <w:r>
        <w:rPr>
          <w:rFonts w:ascii="Times New Roman" w:eastAsia="Calibri" w:hAnsi="Times New Roman"/>
          <w:sz w:val="20"/>
          <w:szCs w:val="22"/>
          <w:lang w:eastAsia="en-US"/>
        </w:rPr>
        <w:t>овосибирский государственный технический университет»</w:t>
      </w:r>
      <w:r w:rsidRPr="00640D16">
        <w:rPr>
          <w:rFonts w:ascii="Times New Roman" w:eastAsia="Calibri" w:hAnsi="Times New Roman"/>
          <w:sz w:val="20"/>
          <w:szCs w:val="22"/>
          <w:lang w:eastAsia="en-US"/>
        </w:rPr>
        <w:t>)</w:t>
      </w:r>
    </w:p>
    <w:p w:rsidR="00BB2B68" w:rsidRPr="00755534" w:rsidRDefault="00B702F6" w:rsidP="00130F13">
      <w:pPr>
        <w:widowControl w:val="0"/>
        <w:ind w:firstLine="0"/>
        <w:jc w:val="center"/>
        <w:rPr>
          <w:rFonts w:ascii="Times New Roman" w:eastAsia="Calibri" w:hAnsi="Times New Roman"/>
          <w:sz w:val="20"/>
          <w:szCs w:val="22"/>
          <w:lang w:val="en-US" w:eastAsia="en-US"/>
        </w:rPr>
      </w:pPr>
      <w:r>
        <w:rPr>
          <w:rFonts w:ascii="Times New Roman" w:eastAsia="Calibri" w:hAnsi="Times New Roman"/>
          <w:sz w:val="20"/>
          <w:szCs w:val="22"/>
          <w:lang w:val="en-US" w:eastAsia="en-US"/>
        </w:rPr>
        <w:t xml:space="preserve">M.V. Yaroslavtsev, O.A. </w:t>
      </w:r>
      <w:proofErr w:type="spellStart"/>
      <w:r>
        <w:rPr>
          <w:rFonts w:ascii="Times New Roman" w:eastAsia="Calibri" w:hAnsi="Times New Roman"/>
          <w:sz w:val="20"/>
          <w:szCs w:val="22"/>
          <w:lang w:val="en-US" w:eastAsia="en-US"/>
        </w:rPr>
        <w:t>Efimova</w:t>
      </w:r>
      <w:proofErr w:type="spellEnd"/>
      <w:r w:rsidR="00BB2B68">
        <w:rPr>
          <w:rFonts w:ascii="Times New Roman" w:eastAsia="Calibri" w:hAnsi="Times New Roman"/>
          <w:sz w:val="20"/>
          <w:szCs w:val="22"/>
          <w:lang w:val="en-US" w:eastAsia="en-US"/>
        </w:rPr>
        <w:t xml:space="preserve"> 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br/>
      </w:r>
      <w:r w:rsidR="00BB2B68" w:rsidRPr="00755534">
        <w:rPr>
          <w:rFonts w:ascii="Times New Roman" w:eastAsia="Calibri" w:hAnsi="Times New Roman"/>
          <w:sz w:val="20"/>
          <w:szCs w:val="22"/>
          <w:lang w:val="en-US" w:eastAsia="en-US"/>
        </w:rPr>
        <w:t>(</w:t>
      </w:r>
      <w:r>
        <w:rPr>
          <w:rFonts w:ascii="Times New Roman" w:eastAsia="Calibri" w:hAnsi="Times New Roman"/>
          <w:sz w:val="20"/>
          <w:szCs w:val="22"/>
          <w:lang w:val="en-US" w:eastAsia="en-US"/>
        </w:rPr>
        <w:t>Novosibirsk, Novosibirsk State Technical University</w:t>
      </w:r>
      <w:r w:rsidR="00BB2B68" w:rsidRPr="00755534">
        <w:rPr>
          <w:rFonts w:ascii="Times New Roman" w:eastAsia="Calibri" w:hAnsi="Times New Roman"/>
          <w:sz w:val="20"/>
          <w:szCs w:val="22"/>
          <w:lang w:val="en-US" w:eastAsia="en-US"/>
        </w:rPr>
        <w:t>)</w:t>
      </w:r>
    </w:p>
    <w:p w:rsidR="00BB2B68" w:rsidRPr="00B702F6" w:rsidRDefault="00B702F6" w:rsidP="00130F13">
      <w:pPr>
        <w:keepNext/>
        <w:keepLines/>
        <w:widowControl w:val="0"/>
        <w:spacing w:before="2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eastAsia="en-US"/>
        </w:rPr>
      </w:pPr>
      <w:r>
        <w:rPr>
          <w:rFonts w:ascii="Times New Roman" w:hAnsi="Times New Roman"/>
          <w:b/>
          <w:bCs/>
          <w:caps/>
          <w:sz w:val="20"/>
          <w:szCs w:val="26"/>
          <w:lang w:eastAsia="en-US"/>
        </w:rPr>
        <w:t>ВЛИЯНИ</w:t>
      </w:r>
      <w:r w:rsidR="00C56E4A">
        <w:rPr>
          <w:rFonts w:ascii="Times New Roman" w:hAnsi="Times New Roman"/>
          <w:b/>
          <w:bCs/>
          <w:caps/>
          <w:sz w:val="20"/>
          <w:szCs w:val="26"/>
          <w:lang w:eastAsia="en-US"/>
        </w:rPr>
        <w:t>Е</w:t>
      </w:r>
      <w:r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УРОВНЯ НАПРЯЖЕНИЯ ТЯГОВЫХ ПОДСТАНЦИЙ НА СИСТЕМ</w:t>
      </w:r>
      <w:r w:rsidR="00C56E4A">
        <w:rPr>
          <w:rFonts w:ascii="Times New Roman" w:hAnsi="Times New Roman"/>
          <w:b/>
          <w:bCs/>
          <w:caps/>
          <w:sz w:val="20"/>
          <w:szCs w:val="26"/>
          <w:lang w:eastAsia="en-US"/>
        </w:rPr>
        <w:t>У</w:t>
      </w:r>
      <w:r>
        <w:rPr>
          <w:rFonts w:ascii="Times New Roman" w:hAnsi="Times New Roman"/>
          <w:b/>
          <w:bCs/>
          <w:caps/>
          <w:sz w:val="20"/>
          <w:szCs w:val="26"/>
          <w:lang w:eastAsia="en-US"/>
        </w:rPr>
        <w:t xml:space="preserve"> ЭЛЕКТРОСНАБЖЕНИЯ МЕТРОПОЛИТЕНА</w:t>
      </w:r>
    </w:p>
    <w:p w:rsidR="00BB2B68" w:rsidRPr="00B702F6" w:rsidRDefault="00B702F6" w:rsidP="00130F13">
      <w:pPr>
        <w:keepNext/>
        <w:keepLines/>
        <w:widowControl w:val="0"/>
        <w:spacing w:after="200"/>
        <w:ind w:firstLine="0"/>
        <w:jc w:val="center"/>
        <w:outlineLvl w:val="1"/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</w:pPr>
      <w:r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 xml:space="preserve">IMPACT OF TRACTION SUBSTATION VOLTAGES ON </w:t>
      </w:r>
      <w:r w:rsidR="00307FE8"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 xml:space="preserve">THE SUBWAY </w:t>
      </w:r>
      <w:r>
        <w:rPr>
          <w:rFonts w:ascii="Times New Roman" w:hAnsi="Times New Roman"/>
          <w:b/>
          <w:bCs/>
          <w:caps/>
          <w:sz w:val="20"/>
          <w:szCs w:val="26"/>
          <w:lang w:val="en-US" w:eastAsia="en-US"/>
        </w:rPr>
        <w:t xml:space="preserve">ENERGY SUPPLY SYSTEM </w:t>
      </w:r>
    </w:p>
    <w:p w:rsidR="00B16F9A" w:rsidRDefault="00B16F9A" w:rsidP="00130F13">
      <w:pPr>
        <w:widowControl w:val="0"/>
        <w:rPr>
          <w:rFonts w:ascii="Times New Roman" w:eastAsia="Calibri" w:hAnsi="Times New Roman"/>
          <w:i/>
          <w:sz w:val="20"/>
          <w:szCs w:val="22"/>
          <w:lang w:eastAsia="en-US"/>
        </w:rPr>
      </w:pPr>
      <w:r>
        <w:rPr>
          <w:rFonts w:ascii="Times New Roman" w:eastAsia="Calibri" w:hAnsi="Times New Roman"/>
          <w:i/>
          <w:sz w:val="20"/>
          <w:szCs w:val="22"/>
          <w:lang w:eastAsia="en-US"/>
        </w:rPr>
        <w:t>Выполнен анализ причин неравномерного распределения нагрузки между тяговыми подстанциями метрополитена. С помощью спец</w:t>
      </w:r>
      <w:r w:rsidR="007F3DCC">
        <w:rPr>
          <w:rFonts w:ascii="Times New Roman" w:eastAsia="Calibri" w:hAnsi="Times New Roman"/>
          <w:i/>
          <w:sz w:val="20"/>
          <w:szCs w:val="22"/>
          <w:lang w:eastAsia="en-US"/>
        </w:rPr>
        <w:t>и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а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лизированной имитационной модели тяговой сети доказано влияние </w:t>
      </w:r>
      <w:proofErr w:type="spellStart"/>
      <w:r>
        <w:rPr>
          <w:rFonts w:ascii="Times New Roman" w:eastAsia="Calibri" w:hAnsi="Times New Roman"/>
          <w:i/>
          <w:sz w:val="20"/>
          <w:szCs w:val="22"/>
          <w:lang w:eastAsia="en-US"/>
        </w:rPr>
        <w:t>перетоков</w:t>
      </w:r>
      <w:proofErr w:type="spellEnd"/>
      <w:r w:rsidR="00914615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электрической энергии 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между фидерн</w:t>
      </w:r>
      <w:r w:rsidR="007F3DCC">
        <w:rPr>
          <w:rFonts w:ascii="Times New Roman" w:eastAsia="Calibri" w:hAnsi="Times New Roman"/>
          <w:i/>
          <w:sz w:val="20"/>
          <w:szCs w:val="22"/>
          <w:lang w:eastAsia="en-US"/>
        </w:rPr>
        <w:t>ы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ми зонами </w:t>
      </w:r>
      <w:r w:rsidR="007F3DCC">
        <w:rPr>
          <w:rFonts w:ascii="Times New Roman" w:eastAsia="Calibri" w:hAnsi="Times New Roman"/>
          <w:i/>
          <w:sz w:val="20"/>
          <w:szCs w:val="22"/>
          <w:lang w:eastAsia="en-US"/>
        </w:rPr>
        <w:t>п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о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д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станций</w:t>
      </w:r>
      <w:r w:rsidR="007F3DCC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сборные через шины выпрямительных агрегатов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на т</w:t>
      </w:r>
      <w:r w:rsidR="007F3DCC">
        <w:rPr>
          <w:rFonts w:ascii="Times New Roman" w:eastAsia="Calibri" w:hAnsi="Times New Roman"/>
          <w:i/>
          <w:sz w:val="20"/>
          <w:szCs w:val="22"/>
          <w:lang w:eastAsia="en-US"/>
        </w:rPr>
        <w:t>ок</w:t>
      </w:r>
      <w:r>
        <w:rPr>
          <w:rFonts w:ascii="Times New Roman" w:eastAsia="Calibri" w:hAnsi="Times New Roman"/>
          <w:i/>
          <w:sz w:val="20"/>
          <w:szCs w:val="22"/>
          <w:lang w:eastAsia="en-US"/>
        </w:rPr>
        <w:t>овые нагрузки</w:t>
      </w:r>
      <w:r w:rsidR="007F3DCC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подстанций</w:t>
      </w:r>
      <w:r w:rsidR="000B0356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. </w:t>
      </w:r>
    </w:p>
    <w:p w:rsidR="00BB2B68" w:rsidRPr="00640D16" w:rsidRDefault="000B0356" w:rsidP="00130F13">
      <w:pPr>
        <w:widowControl w:val="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The unequal spread of load between traction substations along a su</w:t>
      </w: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b</w:t>
      </w: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way line is analyzed. The impact of energy </w:t>
      </w:r>
      <w:proofErr w:type="spellStart"/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crossflow</w:t>
      </w:r>
      <w:proofErr w:type="spellEnd"/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 between feeder zones of different substations over their output buses on the current loads of tra</w:t>
      </w: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c</w:t>
      </w:r>
      <w:r>
        <w:rPr>
          <w:rFonts w:ascii="Times New Roman" w:eastAsia="Calibri" w:hAnsi="Times New Roman"/>
          <w:i/>
          <w:sz w:val="20"/>
          <w:szCs w:val="22"/>
          <w:lang w:val="en-US" w:eastAsia="en-US"/>
        </w:rPr>
        <w:t>tion substation is evaluated.</w:t>
      </w:r>
    </w:p>
    <w:p w:rsidR="00BB2B68" w:rsidRPr="00307FE8" w:rsidRDefault="00BB2B68" w:rsidP="00130F13">
      <w:pPr>
        <w:widowControl w:val="0"/>
        <w:rPr>
          <w:rFonts w:ascii="Times New Roman" w:eastAsia="Calibri" w:hAnsi="Times New Roman"/>
          <w:i/>
          <w:sz w:val="20"/>
          <w:szCs w:val="22"/>
          <w:lang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Ключевые</w:t>
      </w:r>
      <w:r w:rsidRPr="00307FE8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 </w:t>
      </w:r>
      <w:r w:rsidRPr="00640D16">
        <w:rPr>
          <w:rFonts w:ascii="Times New Roman" w:eastAsia="Calibri" w:hAnsi="Times New Roman"/>
          <w:i/>
          <w:sz w:val="20"/>
          <w:szCs w:val="22"/>
          <w:lang w:eastAsia="en-US"/>
        </w:rPr>
        <w:t>слова</w:t>
      </w:r>
      <w:r w:rsidRPr="00307FE8">
        <w:rPr>
          <w:rFonts w:ascii="Times New Roman" w:eastAsia="Calibri" w:hAnsi="Times New Roman"/>
          <w:i/>
          <w:sz w:val="20"/>
          <w:szCs w:val="22"/>
          <w:lang w:eastAsia="en-US"/>
        </w:rPr>
        <w:t xml:space="preserve">: </w:t>
      </w:r>
      <w:r w:rsidR="00307FE8">
        <w:rPr>
          <w:rFonts w:ascii="Times New Roman" w:eastAsia="Calibri" w:hAnsi="Times New Roman"/>
          <w:i/>
          <w:sz w:val="20"/>
          <w:szCs w:val="22"/>
          <w:lang w:eastAsia="en-US"/>
        </w:rPr>
        <w:t>электроснабжение, тяговая сеть, энергоэ</w:t>
      </w:r>
      <w:r w:rsidR="00307FE8">
        <w:rPr>
          <w:rFonts w:ascii="Times New Roman" w:eastAsia="Calibri" w:hAnsi="Times New Roman"/>
          <w:i/>
          <w:sz w:val="20"/>
          <w:szCs w:val="22"/>
          <w:lang w:eastAsia="en-US"/>
        </w:rPr>
        <w:t>ф</w:t>
      </w:r>
      <w:r w:rsidR="00307FE8">
        <w:rPr>
          <w:rFonts w:ascii="Times New Roman" w:eastAsia="Calibri" w:hAnsi="Times New Roman"/>
          <w:i/>
          <w:sz w:val="20"/>
          <w:szCs w:val="22"/>
          <w:lang w:eastAsia="en-US"/>
        </w:rPr>
        <w:t>фективность, метрополитен, математическое моделирование</w:t>
      </w:r>
      <w:r w:rsidRPr="00307FE8">
        <w:rPr>
          <w:rFonts w:ascii="Times New Roman" w:eastAsia="Calibri" w:hAnsi="Times New Roman"/>
          <w:i/>
          <w:sz w:val="20"/>
          <w:szCs w:val="22"/>
          <w:lang w:eastAsia="en-US"/>
        </w:rPr>
        <w:t>.</w:t>
      </w:r>
    </w:p>
    <w:p w:rsidR="00BB2B68" w:rsidRPr="00042C56" w:rsidRDefault="00BB2B68" w:rsidP="00130F13">
      <w:pPr>
        <w:widowControl w:val="0"/>
        <w:spacing w:after="200"/>
        <w:rPr>
          <w:rFonts w:ascii="Times New Roman" w:eastAsia="Calibri" w:hAnsi="Times New Roman"/>
          <w:i/>
          <w:sz w:val="20"/>
          <w:szCs w:val="22"/>
          <w:lang w:val="en-US" w:eastAsia="en-US"/>
        </w:rPr>
      </w:pPr>
      <w:r w:rsidRPr="00640D16">
        <w:rPr>
          <w:rFonts w:ascii="Times New Roman" w:eastAsia="Calibri" w:hAnsi="Times New Roman"/>
          <w:i/>
          <w:sz w:val="20"/>
          <w:szCs w:val="22"/>
          <w:lang w:val="en-US" w:eastAsia="en-US"/>
        </w:rPr>
        <w:t xml:space="preserve">Keywords: </w:t>
      </w:r>
      <w:r w:rsidR="00307FE8">
        <w:rPr>
          <w:rFonts w:ascii="Times New Roman" w:eastAsia="Calibri" w:hAnsi="Times New Roman"/>
          <w:i/>
          <w:sz w:val="20"/>
          <w:szCs w:val="22"/>
          <w:lang w:val="en-US" w:eastAsia="en-US"/>
        </w:rPr>
        <w:t>energy supply, traction circuit, energy efficiency, subway, numeric modeling</w:t>
      </w:r>
      <w:r w:rsidRPr="00042C56">
        <w:rPr>
          <w:rFonts w:ascii="Times New Roman" w:eastAsia="Calibri" w:hAnsi="Times New Roman"/>
          <w:i/>
          <w:sz w:val="20"/>
          <w:szCs w:val="22"/>
          <w:lang w:val="en-US" w:eastAsia="en-US"/>
        </w:rPr>
        <w:t>.</w:t>
      </w:r>
    </w:p>
    <w:p w:rsidR="00307FE8" w:rsidRDefault="00FA2255" w:rsidP="00130F13">
      <w:pPr>
        <w:pStyle w:val="a4"/>
        <w:widowControl w:val="0"/>
        <w:rPr>
          <w:szCs w:val="20"/>
        </w:rPr>
      </w:pPr>
      <w:r>
        <w:t>Важной проблемой при эксплуатации тяговых подстанций являе</w:t>
      </w:r>
      <w:r>
        <w:t>т</w:t>
      </w:r>
      <w:r>
        <w:t xml:space="preserve">ся обеспечение равномерного распределения </w:t>
      </w:r>
      <w:r w:rsidR="00DE39DF">
        <w:t xml:space="preserve">токовой </w:t>
      </w:r>
      <w:r>
        <w:t xml:space="preserve">нагрузки между ними. Неравномерность </w:t>
      </w:r>
      <w:r w:rsidR="00DE39DF">
        <w:rPr>
          <w:szCs w:val="20"/>
        </w:rPr>
        <w:t>нагрузки приводит к неэффективному испол</w:t>
      </w:r>
      <w:r w:rsidR="00DE39DF">
        <w:rPr>
          <w:szCs w:val="20"/>
        </w:rPr>
        <w:t>ь</w:t>
      </w:r>
      <w:r w:rsidR="00DE39DF">
        <w:rPr>
          <w:szCs w:val="20"/>
        </w:rPr>
        <w:t>зованию ресурса оборудования</w:t>
      </w:r>
      <w:r w:rsidR="00DE39DF" w:rsidRPr="005B6141">
        <w:rPr>
          <w:szCs w:val="20"/>
        </w:rPr>
        <w:t>, создает повышенные потери энергии в тяговой сети и отрицательно влияет на тяговые характеристики</w:t>
      </w:r>
      <w:r w:rsidR="00DE39DF">
        <w:rPr>
          <w:szCs w:val="20"/>
        </w:rPr>
        <w:t xml:space="preserve"> эле</w:t>
      </w:r>
      <w:r w:rsidR="00DE39DF">
        <w:rPr>
          <w:szCs w:val="20"/>
        </w:rPr>
        <w:t>к</w:t>
      </w:r>
      <w:r w:rsidR="00DE39DF">
        <w:rPr>
          <w:szCs w:val="20"/>
        </w:rPr>
        <w:t>тропо</w:t>
      </w:r>
      <w:r w:rsidR="00DE39DF" w:rsidRPr="005B6141">
        <w:rPr>
          <w:szCs w:val="20"/>
        </w:rPr>
        <w:t>движного состава.</w:t>
      </w:r>
      <w:r w:rsidR="00DE39DF">
        <w:rPr>
          <w:szCs w:val="20"/>
        </w:rPr>
        <w:t xml:space="preserve"> По этим причинам возникает необходимость установления причин непропорциональности мощности, отдаваемой подстанциями, величине транспортной работы в их фидерной зоне, а также потребность выработки мероприятий по их устранению.</w:t>
      </w:r>
    </w:p>
    <w:p w:rsidR="00EC1E36" w:rsidRDefault="00DE39DF" w:rsidP="00130F13">
      <w:pPr>
        <w:widowControl w:val="0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 анализе данных</w:t>
      </w:r>
      <w:r w:rsidRPr="005B614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об</w:t>
      </w:r>
      <w:r w:rsidRPr="009D0184">
        <w:rPr>
          <w:rFonts w:ascii="Times New Roman" w:hAnsi="Times New Roman"/>
          <w:sz w:val="20"/>
        </w:rPr>
        <w:t xml:space="preserve"> </w:t>
      </w:r>
      <w:r w:rsidRPr="005B6141">
        <w:rPr>
          <w:rFonts w:ascii="Times New Roman" w:hAnsi="Times New Roman"/>
          <w:sz w:val="20"/>
        </w:rPr>
        <w:t xml:space="preserve">уровне напряжения </w:t>
      </w:r>
      <w:r>
        <w:rPr>
          <w:rFonts w:ascii="Times New Roman" w:hAnsi="Times New Roman"/>
          <w:sz w:val="20"/>
        </w:rPr>
        <w:t>на тяговых подстанц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ях Дзержинской линии</w:t>
      </w:r>
      <w:r w:rsidRPr="005B6141">
        <w:rPr>
          <w:rFonts w:ascii="Times New Roman" w:hAnsi="Times New Roman"/>
          <w:sz w:val="20"/>
        </w:rPr>
        <w:t xml:space="preserve"> Новосибирско</w:t>
      </w:r>
      <w:r>
        <w:rPr>
          <w:rFonts w:ascii="Times New Roman" w:hAnsi="Times New Roman"/>
          <w:sz w:val="20"/>
        </w:rPr>
        <w:t>го</w:t>
      </w:r>
      <w:r w:rsidRPr="005B6141">
        <w:rPr>
          <w:rFonts w:ascii="Times New Roman" w:hAnsi="Times New Roman"/>
          <w:sz w:val="20"/>
        </w:rPr>
        <w:t xml:space="preserve"> метрополитен</w:t>
      </w:r>
      <w:r>
        <w:rPr>
          <w:rFonts w:ascii="Times New Roman" w:hAnsi="Times New Roman"/>
          <w:sz w:val="20"/>
        </w:rPr>
        <w:t>а за период с 14.07-19.07.2016 г. был выявлен</w:t>
      </w:r>
      <w:r w:rsidRPr="005B6141">
        <w:rPr>
          <w:rFonts w:ascii="Times New Roman" w:hAnsi="Times New Roman"/>
          <w:sz w:val="20"/>
        </w:rPr>
        <w:t xml:space="preserve"> большой разброс напряжений</w:t>
      </w:r>
      <w:r>
        <w:rPr>
          <w:rFonts w:ascii="Times New Roman" w:hAnsi="Times New Roman"/>
          <w:sz w:val="20"/>
        </w:rPr>
        <w:t xml:space="preserve"> хол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 xml:space="preserve">стого хода подстанций (850-1100 В) </w:t>
      </w:r>
      <w:r w:rsidRPr="005B6141">
        <w:rPr>
          <w:rFonts w:ascii="Times New Roman" w:hAnsi="Times New Roman"/>
          <w:sz w:val="20"/>
        </w:rPr>
        <w:t xml:space="preserve">и </w:t>
      </w:r>
      <w:r>
        <w:rPr>
          <w:rFonts w:ascii="Times New Roman" w:hAnsi="Times New Roman"/>
          <w:sz w:val="20"/>
        </w:rPr>
        <w:t>превышение</w:t>
      </w:r>
      <w:r w:rsidRPr="005B6141">
        <w:rPr>
          <w:rFonts w:ascii="Times New Roman" w:hAnsi="Times New Roman"/>
          <w:sz w:val="20"/>
        </w:rPr>
        <w:t xml:space="preserve"> уровня</w:t>
      </w:r>
      <w:r>
        <w:rPr>
          <w:rFonts w:ascii="Times New Roman" w:hAnsi="Times New Roman"/>
          <w:sz w:val="20"/>
        </w:rPr>
        <w:t xml:space="preserve"> 975</w:t>
      </w:r>
      <w:proofErr w:type="gramStart"/>
      <w:r>
        <w:rPr>
          <w:rFonts w:ascii="Times New Roman" w:hAnsi="Times New Roman"/>
          <w:sz w:val="20"/>
        </w:rPr>
        <w:t xml:space="preserve"> В</w:t>
      </w:r>
      <w:proofErr w:type="gramEnd"/>
      <w:r w:rsidRPr="005B6141">
        <w:rPr>
          <w:rFonts w:ascii="Times New Roman" w:hAnsi="Times New Roman"/>
          <w:sz w:val="20"/>
        </w:rPr>
        <w:t>, уст</w:t>
      </w:r>
      <w:r w:rsidRPr="005B6141">
        <w:rPr>
          <w:rFonts w:ascii="Times New Roman" w:hAnsi="Times New Roman"/>
          <w:sz w:val="20"/>
        </w:rPr>
        <w:t>а</w:t>
      </w:r>
      <w:r w:rsidRPr="005B6141">
        <w:rPr>
          <w:rFonts w:ascii="Times New Roman" w:hAnsi="Times New Roman"/>
          <w:sz w:val="20"/>
        </w:rPr>
        <w:t>новленного ГОСТ</w:t>
      </w:r>
      <w:r>
        <w:rPr>
          <w:rFonts w:ascii="Times New Roman" w:hAnsi="Times New Roman"/>
          <w:sz w:val="20"/>
        </w:rPr>
        <w:t xml:space="preserve"> </w:t>
      </w:r>
      <w:r w:rsidRPr="00C54431">
        <w:rPr>
          <w:rFonts w:ascii="Times New Roman" w:hAnsi="Times New Roman"/>
          <w:sz w:val="20"/>
        </w:rPr>
        <w:t>[1]</w:t>
      </w:r>
      <w:r>
        <w:rPr>
          <w:rFonts w:ascii="Times New Roman" w:hAnsi="Times New Roman"/>
          <w:sz w:val="20"/>
        </w:rPr>
        <w:t xml:space="preserve">. </w:t>
      </w:r>
      <w:r w:rsidR="00EC1E36">
        <w:rPr>
          <w:rFonts w:ascii="Times New Roman" w:hAnsi="Times New Roman"/>
          <w:sz w:val="20"/>
        </w:rPr>
        <w:t xml:space="preserve">Можно выделить две основные причины, </w:t>
      </w:r>
      <w:r w:rsidR="00EC1E36">
        <w:rPr>
          <w:rFonts w:ascii="Times New Roman" w:hAnsi="Times New Roman"/>
          <w:sz w:val="20"/>
        </w:rPr>
        <w:lastRenderedPageBreak/>
        <w:t>влияющие на уровень напряжения холостого хода подстанций. К ним относятся у</w:t>
      </w:r>
      <w:r>
        <w:rPr>
          <w:rFonts w:ascii="Times New Roman" w:hAnsi="Times New Roman"/>
          <w:sz w:val="20"/>
        </w:rPr>
        <w:t xml:space="preserve">ровень напряжения в первичной сети </w:t>
      </w:r>
      <w:r w:rsidR="00EC1E36">
        <w:rPr>
          <w:rFonts w:ascii="Times New Roman" w:hAnsi="Times New Roman"/>
          <w:sz w:val="20"/>
        </w:rPr>
        <w:t>10 кВ и р</w:t>
      </w:r>
      <w:r w:rsidRPr="005B6141">
        <w:rPr>
          <w:rFonts w:ascii="Times New Roman" w:hAnsi="Times New Roman"/>
          <w:sz w:val="20"/>
        </w:rPr>
        <w:t>аз</w:t>
      </w:r>
      <w:r w:rsidR="00EC1E36">
        <w:rPr>
          <w:rFonts w:ascii="Times New Roman" w:hAnsi="Times New Roman"/>
          <w:sz w:val="20"/>
        </w:rPr>
        <w:t xml:space="preserve">личный </w:t>
      </w:r>
      <w:r w:rsidRPr="005B6141">
        <w:rPr>
          <w:rFonts w:ascii="Times New Roman" w:hAnsi="Times New Roman"/>
          <w:sz w:val="20"/>
        </w:rPr>
        <w:t xml:space="preserve">коэффициент </w:t>
      </w:r>
      <w:r>
        <w:rPr>
          <w:rFonts w:ascii="Times New Roman" w:hAnsi="Times New Roman"/>
          <w:sz w:val="20"/>
        </w:rPr>
        <w:t>понижения напряжения</w:t>
      </w:r>
      <w:r w:rsidRPr="005B6141">
        <w:rPr>
          <w:rFonts w:ascii="Times New Roman" w:hAnsi="Times New Roman"/>
          <w:sz w:val="20"/>
        </w:rPr>
        <w:t xml:space="preserve"> н</w:t>
      </w:r>
      <w:r>
        <w:rPr>
          <w:rFonts w:ascii="Times New Roman" w:hAnsi="Times New Roman"/>
          <w:sz w:val="20"/>
        </w:rPr>
        <w:t>а разных тяговых подстанциях, вызванный применением различных типов оборудования</w:t>
      </w:r>
      <w:r w:rsidR="00EC1E36">
        <w:rPr>
          <w:rFonts w:ascii="Times New Roman" w:hAnsi="Times New Roman"/>
          <w:sz w:val="20"/>
        </w:rPr>
        <w:t xml:space="preserve"> (например, 6- либо 12-пульсных выпрямителей)</w:t>
      </w:r>
      <w:r>
        <w:rPr>
          <w:rFonts w:ascii="Times New Roman" w:hAnsi="Times New Roman"/>
          <w:sz w:val="20"/>
        </w:rPr>
        <w:t xml:space="preserve"> и переключением регулировочных обмоток тяговых трансформаторов.</w:t>
      </w:r>
      <w:r w:rsidR="00EC1E36">
        <w:rPr>
          <w:rFonts w:ascii="Times New Roman" w:hAnsi="Times New Roman"/>
          <w:sz w:val="20"/>
        </w:rPr>
        <w:t xml:space="preserve"> Различие уровня напряжения пе</w:t>
      </w:r>
      <w:r w:rsidR="00EC1E36">
        <w:rPr>
          <w:rFonts w:ascii="Times New Roman" w:hAnsi="Times New Roman"/>
          <w:sz w:val="20"/>
        </w:rPr>
        <w:t>р</w:t>
      </w:r>
      <w:r w:rsidR="00EC1E36">
        <w:rPr>
          <w:rFonts w:ascii="Times New Roman" w:hAnsi="Times New Roman"/>
          <w:sz w:val="20"/>
        </w:rPr>
        <w:t>вичной сети на вводах тяговых подстанций связано как с питанием от различных понизительных подстанций в составе энергосистемы гор</w:t>
      </w:r>
      <w:r w:rsidR="00EC1E36">
        <w:rPr>
          <w:rFonts w:ascii="Times New Roman" w:hAnsi="Times New Roman"/>
          <w:sz w:val="20"/>
        </w:rPr>
        <w:t>о</w:t>
      </w:r>
      <w:r w:rsidR="00EC1E36">
        <w:rPr>
          <w:rFonts w:ascii="Times New Roman" w:hAnsi="Times New Roman"/>
          <w:sz w:val="20"/>
        </w:rPr>
        <w:t>да, так и потерями в кабельных линиях 10 кВ.</w:t>
      </w:r>
    </w:p>
    <w:p w:rsidR="00EC1E36" w:rsidRDefault="00EC1E36" w:rsidP="00130F1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Можно предположить, что различие нагрузки объясняется </w:t>
      </w:r>
      <w:proofErr w:type="spellStart"/>
      <w:r>
        <w:rPr>
          <w:rFonts w:ascii="Times New Roman" w:hAnsi="Times New Roman"/>
          <w:sz w:val="20"/>
        </w:rPr>
        <w:t>пер</w:t>
      </w:r>
      <w:r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>токами</w:t>
      </w:r>
      <w:proofErr w:type="spellEnd"/>
      <w:r>
        <w:rPr>
          <w:rFonts w:ascii="Times New Roman" w:hAnsi="Times New Roman"/>
          <w:sz w:val="20"/>
        </w:rPr>
        <w:t xml:space="preserve"> </w:t>
      </w:r>
      <w:r w:rsidR="007E38C6">
        <w:rPr>
          <w:rFonts w:ascii="Times New Roman" w:hAnsi="Times New Roman"/>
          <w:sz w:val="20"/>
        </w:rPr>
        <w:t>энергии через фидеры и шины тяговых подстанций, поскольку в системе электроснабжения метрополитена, как правило, применяется схема с раздельным двусторонним питанием контактного рельса.</w:t>
      </w:r>
    </w:p>
    <w:p w:rsidR="00DE39DF" w:rsidRDefault="00EC1E36" w:rsidP="00130F1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</w:t>
      </w:r>
      <w:r w:rsidR="007E38C6">
        <w:rPr>
          <w:rFonts w:ascii="Times New Roman" w:hAnsi="Times New Roman"/>
          <w:sz w:val="20"/>
        </w:rPr>
        <w:t xml:space="preserve">проверки выдвинутого предположения и </w:t>
      </w:r>
      <w:r>
        <w:rPr>
          <w:rFonts w:ascii="Times New Roman" w:hAnsi="Times New Roman"/>
          <w:sz w:val="20"/>
        </w:rPr>
        <w:t xml:space="preserve">численной оценки </w:t>
      </w:r>
      <w:proofErr w:type="gramStart"/>
      <w:r>
        <w:rPr>
          <w:rFonts w:ascii="Times New Roman" w:hAnsi="Times New Roman"/>
          <w:sz w:val="20"/>
        </w:rPr>
        <w:t>влияния уровня напряжения холостого хода тяговых подстанций</w:t>
      </w:r>
      <w:proofErr w:type="gramEnd"/>
      <w:r>
        <w:rPr>
          <w:rFonts w:ascii="Times New Roman" w:hAnsi="Times New Roman"/>
          <w:sz w:val="20"/>
        </w:rPr>
        <w:t xml:space="preserve"> на их токовую нагрузку была использована имитационная модель тяговой сети, разработанная на кафедре электротехнических комплексов Нов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сибирского государственного технического университета.</w:t>
      </w:r>
      <w:r w:rsidR="007E38C6">
        <w:rPr>
          <w:rFonts w:ascii="Times New Roman" w:hAnsi="Times New Roman"/>
          <w:sz w:val="20"/>
        </w:rPr>
        <w:t xml:space="preserve"> Модель п</w:t>
      </w:r>
      <w:r w:rsidR="007E38C6">
        <w:rPr>
          <w:rFonts w:ascii="Times New Roman" w:hAnsi="Times New Roman"/>
          <w:sz w:val="20"/>
        </w:rPr>
        <w:t>о</w:t>
      </w:r>
      <w:r w:rsidR="007E38C6">
        <w:rPr>
          <w:rFonts w:ascii="Times New Roman" w:hAnsi="Times New Roman"/>
          <w:sz w:val="20"/>
        </w:rPr>
        <w:t xml:space="preserve">зволяет выполнять анализ </w:t>
      </w:r>
      <w:r w:rsidR="001E44F9">
        <w:rPr>
          <w:rFonts w:ascii="Times New Roman" w:hAnsi="Times New Roman"/>
          <w:sz w:val="20"/>
        </w:rPr>
        <w:t xml:space="preserve">режимов работы </w:t>
      </w:r>
      <w:r w:rsidR="007E38C6">
        <w:rPr>
          <w:rFonts w:ascii="Times New Roman" w:hAnsi="Times New Roman"/>
          <w:sz w:val="20"/>
        </w:rPr>
        <w:t xml:space="preserve">тяговых сетей </w:t>
      </w:r>
      <w:r w:rsidR="001E44F9">
        <w:rPr>
          <w:rFonts w:ascii="Times New Roman" w:hAnsi="Times New Roman"/>
          <w:sz w:val="20"/>
        </w:rPr>
        <w:t>с различн</w:t>
      </w:r>
      <w:r w:rsidR="001E44F9">
        <w:rPr>
          <w:rFonts w:ascii="Times New Roman" w:hAnsi="Times New Roman"/>
          <w:sz w:val="20"/>
        </w:rPr>
        <w:t>ы</w:t>
      </w:r>
      <w:r w:rsidR="001E44F9">
        <w:rPr>
          <w:rFonts w:ascii="Times New Roman" w:hAnsi="Times New Roman"/>
          <w:sz w:val="20"/>
        </w:rPr>
        <w:t>ми схемами питания и секционирования при движении различных т</w:t>
      </w:r>
      <w:r w:rsidR="001E44F9">
        <w:rPr>
          <w:rFonts w:ascii="Times New Roman" w:hAnsi="Times New Roman"/>
          <w:sz w:val="20"/>
        </w:rPr>
        <w:t>и</w:t>
      </w:r>
      <w:r w:rsidR="001E44F9">
        <w:rPr>
          <w:rFonts w:ascii="Times New Roman" w:hAnsi="Times New Roman"/>
          <w:sz w:val="20"/>
        </w:rPr>
        <w:t>пов электроподвижного состава.</w:t>
      </w:r>
      <w:r w:rsidR="007E38C6">
        <w:rPr>
          <w:rFonts w:ascii="Times New Roman" w:hAnsi="Times New Roman"/>
          <w:sz w:val="20"/>
        </w:rPr>
        <w:t xml:space="preserve"> </w:t>
      </w:r>
      <w:r w:rsidR="001E44F9">
        <w:rPr>
          <w:rFonts w:ascii="Times New Roman" w:hAnsi="Times New Roman"/>
          <w:sz w:val="20"/>
        </w:rPr>
        <w:t xml:space="preserve">Основные принципы </w:t>
      </w:r>
      <w:r w:rsidR="007F3DCC">
        <w:rPr>
          <w:rFonts w:ascii="Times New Roman" w:hAnsi="Times New Roman"/>
          <w:sz w:val="20"/>
        </w:rPr>
        <w:t>реализации</w:t>
      </w:r>
      <w:r w:rsidR="001E44F9">
        <w:rPr>
          <w:rFonts w:ascii="Times New Roman" w:hAnsi="Times New Roman"/>
          <w:sz w:val="20"/>
        </w:rPr>
        <w:t xml:space="preserve"> м</w:t>
      </w:r>
      <w:r w:rsidR="001E44F9">
        <w:rPr>
          <w:rFonts w:ascii="Times New Roman" w:hAnsi="Times New Roman"/>
          <w:sz w:val="20"/>
        </w:rPr>
        <w:t>о</w:t>
      </w:r>
      <w:r w:rsidR="001E44F9">
        <w:rPr>
          <w:rFonts w:ascii="Times New Roman" w:hAnsi="Times New Roman"/>
          <w:sz w:val="20"/>
        </w:rPr>
        <w:t xml:space="preserve">дели приведены в </w:t>
      </w:r>
      <w:r w:rsidR="001E44F9" w:rsidRPr="001E44F9">
        <w:rPr>
          <w:rFonts w:ascii="Times New Roman" w:hAnsi="Times New Roman"/>
          <w:sz w:val="20"/>
        </w:rPr>
        <w:t>[2].</w:t>
      </w:r>
      <w:r w:rsidR="007F3DCC">
        <w:rPr>
          <w:rFonts w:ascii="Times New Roman" w:hAnsi="Times New Roman"/>
          <w:sz w:val="20"/>
        </w:rPr>
        <w:t xml:space="preserve"> В ходе расчета моделируется движение поездов по исследуемому участку. На основании потребления энергии поезд</w:t>
      </w:r>
      <w:r w:rsidR="007F3DCC">
        <w:rPr>
          <w:rFonts w:ascii="Times New Roman" w:hAnsi="Times New Roman"/>
          <w:sz w:val="20"/>
        </w:rPr>
        <w:t>а</w:t>
      </w:r>
      <w:r w:rsidR="007F3DCC">
        <w:rPr>
          <w:rFonts w:ascii="Times New Roman" w:hAnsi="Times New Roman"/>
          <w:sz w:val="20"/>
        </w:rPr>
        <w:t>ми выполняется расчет мгновенных схем замещения тяговой сети для каждого шага модельного времени. Результаты расчета служат осн</w:t>
      </w:r>
      <w:r w:rsidR="007F3DCC">
        <w:rPr>
          <w:rFonts w:ascii="Times New Roman" w:hAnsi="Times New Roman"/>
          <w:sz w:val="20"/>
        </w:rPr>
        <w:t>о</w:t>
      </w:r>
      <w:r w:rsidR="007F3DCC">
        <w:rPr>
          <w:rFonts w:ascii="Times New Roman" w:hAnsi="Times New Roman"/>
          <w:sz w:val="20"/>
        </w:rPr>
        <w:t>ванием для нахождения общего потребления энергия, средних и сре</w:t>
      </w:r>
      <w:r w:rsidR="007F3DCC">
        <w:rPr>
          <w:rFonts w:ascii="Times New Roman" w:hAnsi="Times New Roman"/>
          <w:sz w:val="20"/>
        </w:rPr>
        <w:t>д</w:t>
      </w:r>
      <w:r w:rsidR="007F3DCC">
        <w:rPr>
          <w:rFonts w:ascii="Times New Roman" w:hAnsi="Times New Roman"/>
          <w:sz w:val="20"/>
        </w:rPr>
        <w:t>неквадратичных токов подстанций за заданный интервал времени.</w:t>
      </w:r>
    </w:p>
    <w:p w:rsidR="001E44F9" w:rsidRPr="00DA5BC4" w:rsidRDefault="00B16F9A" w:rsidP="00130F1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Особенностью модели является использование методов тяговых расчетов для определения поездных токов. При моделировании дв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жения поездов учитываются профиль пути и локальные ограничения скорости, а также остановки на станциях.</w:t>
      </w:r>
      <w:r w:rsidR="009C1028">
        <w:rPr>
          <w:rFonts w:ascii="Times New Roman" w:hAnsi="Times New Roman"/>
          <w:sz w:val="20"/>
        </w:rPr>
        <w:t xml:space="preserve"> Последовательность расчета приведена в </w:t>
      </w:r>
      <w:r w:rsidR="009C1028" w:rsidRPr="00DA5BC4">
        <w:rPr>
          <w:rFonts w:ascii="Times New Roman" w:hAnsi="Times New Roman"/>
          <w:sz w:val="20"/>
        </w:rPr>
        <w:t>[3, 4].</w:t>
      </w:r>
    </w:p>
    <w:p w:rsidR="00B16F9A" w:rsidRPr="001E44F9" w:rsidRDefault="00B16F9A" w:rsidP="00130F1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Другой особенностью модели является </w:t>
      </w:r>
      <w:r w:rsidR="007F3DCC">
        <w:rPr>
          <w:rFonts w:ascii="Times New Roman" w:hAnsi="Times New Roman"/>
          <w:sz w:val="20"/>
        </w:rPr>
        <w:t>учёт нелинейного характ</w:t>
      </w:r>
      <w:r w:rsidR="007F3DCC">
        <w:rPr>
          <w:rFonts w:ascii="Times New Roman" w:hAnsi="Times New Roman"/>
          <w:sz w:val="20"/>
        </w:rPr>
        <w:t>е</w:t>
      </w:r>
      <w:r w:rsidR="007F3DCC">
        <w:rPr>
          <w:rFonts w:ascii="Times New Roman" w:hAnsi="Times New Roman"/>
          <w:sz w:val="20"/>
        </w:rPr>
        <w:t>ра процессов в схеме замещения. Нелинейность вызвана как примен</w:t>
      </w:r>
      <w:r w:rsidR="007F3DCC">
        <w:rPr>
          <w:rFonts w:ascii="Times New Roman" w:hAnsi="Times New Roman"/>
          <w:sz w:val="20"/>
        </w:rPr>
        <w:t>е</w:t>
      </w:r>
      <w:r w:rsidR="007F3DCC">
        <w:rPr>
          <w:rFonts w:ascii="Times New Roman" w:hAnsi="Times New Roman"/>
          <w:sz w:val="20"/>
        </w:rPr>
        <w:t>нием полупроводниковых выпрямителей, так и зависимостью тяговых характеристик поезда от напряжения на токоприемнике.</w:t>
      </w:r>
    </w:p>
    <w:p w:rsidR="001E44F9" w:rsidRDefault="001E44F9" w:rsidP="00130F1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Общий вид окна имитационной модели в режиме графического редактирования схемы питания и секционирования тяговой сети пр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веден на рис</w:t>
      </w:r>
      <w:r w:rsidR="00D260EB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1. Составление схемы замещения и определение её пар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z w:val="20"/>
        </w:rPr>
        <w:t xml:space="preserve">метров выполнены по методике, приведенной в </w:t>
      </w:r>
      <w:r w:rsidRPr="001E44F9">
        <w:rPr>
          <w:rFonts w:ascii="Times New Roman" w:hAnsi="Times New Roman"/>
          <w:sz w:val="20"/>
        </w:rPr>
        <w:t>[</w:t>
      </w:r>
      <w:r w:rsidR="009C1028">
        <w:rPr>
          <w:rFonts w:ascii="Times New Roman" w:hAnsi="Times New Roman"/>
          <w:sz w:val="20"/>
        </w:rPr>
        <w:t>5</w:t>
      </w:r>
      <w:r w:rsidR="00DA5BC4">
        <w:rPr>
          <w:rFonts w:ascii="Times New Roman" w:hAnsi="Times New Roman"/>
          <w:sz w:val="20"/>
        </w:rPr>
        <w:t>, 6</w:t>
      </w:r>
      <w:r w:rsidRPr="001E44F9">
        <w:rPr>
          <w:rFonts w:ascii="Times New Roman" w:hAnsi="Times New Roman"/>
          <w:sz w:val="20"/>
        </w:rPr>
        <w:t>].</w:t>
      </w:r>
    </w:p>
    <w:p w:rsidR="005E0AF7" w:rsidRDefault="00130F13" w:rsidP="00130F13">
      <w:pPr>
        <w:pStyle w:val="a4"/>
        <w:widowControl w:val="0"/>
      </w:pPr>
      <w:r>
        <w:t>Основные р</w:t>
      </w:r>
      <w:r w:rsidR="005E0AF7">
        <w:t xml:space="preserve">езультаты моделирования тяговой сети приведены в </w:t>
      </w:r>
      <w:r w:rsidR="005E0AF7">
        <w:lastRenderedPageBreak/>
        <w:t>таблице 1.</w:t>
      </w:r>
      <w:r w:rsidR="000B0356">
        <w:t xml:space="preserve"> Полученные величины средних токов подстанций соотве</w:t>
      </w:r>
      <w:r w:rsidR="000B0356">
        <w:t>т</w:t>
      </w:r>
      <w:r w:rsidR="000B0356">
        <w:t>ствуют данным экспериментальных измерений с некоторыми отл</w:t>
      </w:r>
      <w:r w:rsidR="000B0356">
        <w:t>и</w:t>
      </w:r>
      <w:r w:rsidR="000B0356">
        <w:t>чиями, вызванными неточностью определения параметров схемы з</w:t>
      </w:r>
      <w:r w:rsidR="000B0356">
        <w:t>а</w:t>
      </w:r>
      <w:r w:rsidR="000B0356">
        <w:t>мещения. Как следует из таблицы 1, нагрузка подстанции с наивы</w:t>
      </w:r>
      <w:r w:rsidR="000B0356">
        <w:t>с</w:t>
      </w:r>
      <w:r w:rsidR="000B0356">
        <w:t xml:space="preserve">шим напряжением холостого хода </w:t>
      </w:r>
      <w:r w:rsidR="00902F3E">
        <w:t>в 2,2 раза</w:t>
      </w:r>
      <w:r w:rsidR="000B0356">
        <w:t xml:space="preserve"> превышает среднюю по линии, а подстанция с наименьшим уровнем напряжения холостого хода практически выключена из работы, поскольку её выпрямител</w:t>
      </w:r>
      <w:r w:rsidR="000B0356">
        <w:t>ь</w:t>
      </w:r>
      <w:r w:rsidR="000B0356">
        <w:t>ные агрегаты находятся в запертом состоянии в течение практически всего врем</w:t>
      </w:r>
      <w:r w:rsidR="00902F3E">
        <w:t>ени эксплуатации</w:t>
      </w:r>
      <w:r w:rsidR="000B0356">
        <w:t>.</w:t>
      </w:r>
    </w:p>
    <w:p w:rsidR="00914615" w:rsidRDefault="00914615" w:rsidP="00130F13">
      <w:pPr>
        <w:widowControl w:val="0"/>
        <w:rPr>
          <w:rFonts w:ascii="Times New Roman" w:hAnsi="Times New Roman"/>
          <w:sz w:val="20"/>
        </w:rPr>
      </w:pPr>
    </w:p>
    <w:p w:rsidR="00914615" w:rsidRDefault="00914615" w:rsidP="00130F13">
      <w:pPr>
        <w:widowControl w:val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3886200" cy="2686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lum bright="-5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15" w:rsidRPr="005E0AF7" w:rsidRDefault="00914615" w:rsidP="00130F13">
      <w:pPr>
        <w:widowControl w:val="0"/>
        <w:jc w:val="center"/>
        <w:rPr>
          <w:rFonts w:ascii="Times New Roman" w:hAnsi="Times New Roman"/>
          <w:i/>
          <w:sz w:val="18"/>
          <w:szCs w:val="18"/>
        </w:rPr>
      </w:pPr>
      <w:r w:rsidRPr="005E0AF7">
        <w:rPr>
          <w:rFonts w:ascii="Times New Roman" w:hAnsi="Times New Roman"/>
          <w:i/>
          <w:sz w:val="18"/>
          <w:szCs w:val="18"/>
        </w:rPr>
        <w:t>Рис 1. Окно графического редактора схемы питания и секционирования тяговой сети.</w:t>
      </w:r>
    </w:p>
    <w:p w:rsidR="00DE39DF" w:rsidRPr="00307FE8" w:rsidRDefault="00DE39DF" w:rsidP="00130F13">
      <w:pPr>
        <w:pStyle w:val="a4"/>
        <w:widowControl w:val="0"/>
      </w:pPr>
    </w:p>
    <w:p w:rsidR="003C4875" w:rsidRPr="005E0AF7" w:rsidRDefault="005E0AF7" w:rsidP="00130F13">
      <w:pPr>
        <w:pStyle w:val="a4"/>
        <w:widowControl w:val="0"/>
        <w:jc w:val="center"/>
        <w:rPr>
          <w:i/>
          <w:sz w:val="18"/>
          <w:szCs w:val="18"/>
        </w:rPr>
      </w:pPr>
      <w:r w:rsidRPr="005E0AF7">
        <w:rPr>
          <w:i/>
          <w:sz w:val="18"/>
          <w:szCs w:val="18"/>
        </w:rPr>
        <w:t>Таблица 1. Нагрузки тяговых подстанций, полученные в результате м</w:t>
      </w:r>
      <w:r w:rsidRPr="005E0AF7">
        <w:rPr>
          <w:i/>
          <w:sz w:val="18"/>
          <w:szCs w:val="18"/>
        </w:rPr>
        <w:t>о</w:t>
      </w:r>
      <w:r w:rsidRPr="005E0AF7">
        <w:rPr>
          <w:i/>
          <w:sz w:val="18"/>
          <w:szCs w:val="18"/>
        </w:rPr>
        <w:t>делирования.</w:t>
      </w:r>
    </w:p>
    <w:tbl>
      <w:tblPr>
        <w:tblW w:w="61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5"/>
        <w:gridCol w:w="1604"/>
        <w:gridCol w:w="1559"/>
        <w:gridCol w:w="1031"/>
        <w:gridCol w:w="887"/>
      </w:tblGrid>
      <w:tr w:rsidR="003C4875" w:rsidRPr="003C4875" w:rsidTr="005E0AF7">
        <w:trPr>
          <w:trHeight w:val="559"/>
        </w:trPr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Тяговая подстанция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Напряжение 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лостого хода,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Напряжение под нагрузкой,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Средняя мощность, кВт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Средний ток, А</w:t>
            </w:r>
          </w:p>
        </w:tc>
      </w:tr>
      <w:tr w:rsidR="003C4875" w:rsidRPr="003C4875" w:rsidTr="005E0AF7">
        <w:trPr>
          <w:trHeight w:val="71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11,2</w:t>
            </w:r>
          </w:p>
        </w:tc>
      </w:tr>
      <w:tr w:rsidR="003C4875" w:rsidRPr="003C4875" w:rsidTr="005E0AF7">
        <w:trPr>
          <w:trHeight w:val="70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408,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3C4875" w:rsidRPr="003C4875" w:rsidTr="005E0AF7">
        <w:trPr>
          <w:trHeight w:val="70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505,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3C4875" w:rsidRPr="003C4875" w:rsidTr="005E0AF7">
        <w:trPr>
          <w:trHeight w:val="137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550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</w:tr>
      <w:tr w:rsidR="003C4875" w:rsidRPr="003C4875" w:rsidTr="005E0AF7">
        <w:trPr>
          <w:trHeight w:val="198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:rsidR="003C4875" w:rsidRPr="003C4875" w:rsidRDefault="003C4875" w:rsidP="00130F13">
            <w:pPr>
              <w:widowControl w:val="0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4875">
              <w:rPr>
                <w:rFonts w:ascii="Times New Roman" w:hAnsi="Times New Roman"/>
                <w:color w:val="000000"/>
                <w:sz w:val="18"/>
                <w:szCs w:val="18"/>
              </w:rPr>
              <w:t>727,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</w:tbl>
    <w:p w:rsidR="003C4875" w:rsidRDefault="003C4875" w:rsidP="00130F13">
      <w:pPr>
        <w:pStyle w:val="a4"/>
        <w:widowControl w:val="0"/>
      </w:pPr>
    </w:p>
    <w:p w:rsidR="00130F13" w:rsidRDefault="00902F3E" w:rsidP="00130F13">
      <w:pPr>
        <w:pStyle w:val="a4"/>
        <w:widowControl w:val="0"/>
      </w:pPr>
      <w:r>
        <w:lastRenderedPageBreak/>
        <w:t>Увеличение расстояния передачи энергии при запирании части подстанций приводит к возникновению дополнительных потерь в т</w:t>
      </w:r>
      <w:r>
        <w:t>я</w:t>
      </w:r>
      <w:r>
        <w:t xml:space="preserve">говой сети. </w:t>
      </w:r>
      <w:r w:rsidR="00130F13">
        <w:t xml:space="preserve">Для выравнивания токовых нагрузок тяговых подстанций и снижения </w:t>
      </w:r>
      <w:r>
        <w:t xml:space="preserve">величины </w:t>
      </w:r>
      <w:r w:rsidR="00130F13">
        <w:t>потерь может быть предложено выравнивание напряжений холостого хода тяговых подстанций. Это может быть до</w:t>
      </w:r>
      <w:r w:rsidR="00130F13">
        <w:t>с</w:t>
      </w:r>
      <w:r w:rsidR="00130F13">
        <w:t xml:space="preserve">тигнуто как </w:t>
      </w:r>
      <w:r w:rsidR="00130F13">
        <w:rPr>
          <w:szCs w:val="20"/>
        </w:rPr>
        <w:t>переключением регулировочных обмоток тяговых тран</w:t>
      </w:r>
      <w:r w:rsidR="00130F13">
        <w:rPr>
          <w:szCs w:val="20"/>
        </w:rPr>
        <w:t>с</w:t>
      </w:r>
      <w:r w:rsidR="00130F13">
        <w:rPr>
          <w:szCs w:val="20"/>
        </w:rPr>
        <w:t>форматоров, так и применением управляемых выпрямительных агр</w:t>
      </w:r>
      <w:r w:rsidR="00130F13">
        <w:rPr>
          <w:szCs w:val="20"/>
        </w:rPr>
        <w:t>е</w:t>
      </w:r>
      <w:r w:rsidR="00130F13">
        <w:rPr>
          <w:szCs w:val="20"/>
        </w:rPr>
        <w:t>гатов на основе тиристоров.</w:t>
      </w:r>
    </w:p>
    <w:p w:rsidR="00914615" w:rsidRPr="00FA2255" w:rsidRDefault="00130F13" w:rsidP="00130F13">
      <w:pPr>
        <w:pStyle w:val="a4"/>
        <w:widowControl w:val="0"/>
      </w:pPr>
      <w:r>
        <w:t>Как показали результаты расчета, выравнивание напряжений на уровне 850</w:t>
      </w:r>
      <w:proofErr w:type="gramStart"/>
      <w:r>
        <w:t xml:space="preserve"> В</w:t>
      </w:r>
      <w:proofErr w:type="gramEnd"/>
      <w:r>
        <w:t xml:space="preserve"> позволит сократить мощность потерь в тяговой сети в момент одновременного пуска поездов с </w:t>
      </w:r>
      <w:r>
        <w:rPr>
          <w:szCs w:val="20"/>
        </w:rPr>
        <w:t>577 до 259 кВт, что соотве</w:t>
      </w:r>
      <w:r>
        <w:rPr>
          <w:szCs w:val="20"/>
        </w:rPr>
        <w:t>т</w:t>
      </w:r>
      <w:r>
        <w:rPr>
          <w:szCs w:val="20"/>
        </w:rPr>
        <w:t>ствует повышению общего КПД системы электроснабжения на 3%.</w:t>
      </w:r>
    </w:p>
    <w:p w:rsidR="00BB2B68" w:rsidRPr="00640D16" w:rsidRDefault="00BB2B68" w:rsidP="00130F13">
      <w:pPr>
        <w:keepNext/>
        <w:keepLines/>
        <w:widowControl w:val="0"/>
        <w:spacing w:before="200" w:after="200"/>
        <w:ind w:firstLine="0"/>
        <w:jc w:val="center"/>
        <w:outlineLvl w:val="2"/>
        <w:rPr>
          <w:rFonts w:ascii="Times New Roman" w:hAnsi="Times New Roman"/>
          <w:b/>
          <w:bCs/>
          <w:sz w:val="20"/>
          <w:szCs w:val="22"/>
          <w:lang w:eastAsia="en-US"/>
        </w:rPr>
      </w:pPr>
      <w:r w:rsidRPr="00640D16">
        <w:rPr>
          <w:rFonts w:ascii="Times New Roman" w:hAnsi="Times New Roman"/>
          <w:b/>
          <w:bCs/>
          <w:sz w:val="20"/>
          <w:szCs w:val="22"/>
          <w:lang w:eastAsia="en-US"/>
        </w:rPr>
        <w:t>Список литературы</w:t>
      </w:r>
    </w:p>
    <w:p w:rsidR="00BB2B68" w:rsidRDefault="00BB2B68" w:rsidP="00130F13">
      <w:pPr>
        <w:widowControl w:val="0"/>
        <w:rPr>
          <w:rFonts w:ascii="Times New Roman" w:hAnsi="Times New Roman"/>
          <w:sz w:val="18"/>
          <w:szCs w:val="18"/>
        </w:rPr>
      </w:pPr>
      <w:r w:rsidRPr="00EC1E36">
        <w:rPr>
          <w:rFonts w:ascii="Times New Roman" w:eastAsia="Calibri" w:hAnsi="Times New Roman"/>
          <w:sz w:val="18"/>
          <w:szCs w:val="18"/>
          <w:lang w:eastAsia="en-US"/>
        </w:rPr>
        <w:t xml:space="preserve">1. </w:t>
      </w:r>
      <w:r w:rsidR="00EC1E36" w:rsidRPr="00EC1E36">
        <w:rPr>
          <w:rFonts w:ascii="Times New Roman" w:hAnsi="Times New Roman"/>
          <w:sz w:val="18"/>
          <w:szCs w:val="18"/>
        </w:rPr>
        <w:t>ГОСТ 6962-75 «Транспорт, электрифицированный с питанием от ко</w:t>
      </w:r>
      <w:r w:rsidR="00EC1E36" w:rsidRPr="00EC1E36">
        <w:rPr>
          <w:rFonts w:ascii="Times New Roman" w:hAnsi="Times New Roman"/>
          <w:sz w:val="18"/>
          <w:szCs w:val="18"/>
        </w:rPr>
        <w:t>н</w:t>
      </w:r>
      <w:r w:rsidR="00EC1E36" w:rsidRPr="00EC1E36">
        <w:rPr>
          <w:rFonts w:ascii="Times New Roman" w:hAnsi="Times New Roman"/>
          <w:sz w:val="18"/>
          <w:szCs w:val="18"/>
        </w:rPr>
        <w:t>тактной сети. Ряд напряжений (с Изменением №1)».– М: изд-во стандартов, 1975.</w:t>
      </w:r>
    </w:p>
    <w:p w:rsidR="001E44F9" w:rsidRPr="00EC1E36" w:rsidRDefault="001E44F9" w:rsidP="00130F13">
      <w:pPr>
        <w:widowControl w:val="0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2.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Ярославцев М.В.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О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пределение электрических потерь в тяговой сети городского электротранспорта моделированием мгновенных схем замещения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/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М.В. Ярославцев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//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САПР и моделирование в современной электронике</w:t>
      </w:r>
      <w:r>
        <w:rPr>
          <w:rFonts w:ascii="Times New Roman" w:eastAsia="Calibri" w:hAnsi="Times New Roman"/>
          <w:sz w:val="18"/>
          <w:szCs w:val="18"/>
          <w:lang w:eastAsia="en-US"/>
        </w:rPr>
        <w:t>: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Сбо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р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ник научных трудов I Международной научно-практической конференции.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Под ред. Л.А. Потапова, А.Ю. Дракина.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2017.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С. 109-112.</w:t>
      </w:r>
    </w:p>
    <w:p w:rsidR="007E38C6" w:rsidRDefault="007E38C6" w:rsidP="00130F1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3.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Мятеж А.В.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И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сследование сезонных изменений потребления электр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и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ческой энергии троллейбусом 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/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А.В.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Мятеж, М.В.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Ярославцев, Д.Д.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Забелина </w:t>
      </w:r>
      <w:r>
        <w:rPr>
          <w:rFonts w:ascii="Times New Roman" w:eastAsia="Calibri" w:hAnsi="Times New Roman"/>
          <w:sz w:val="18"/>
          <w:szCs w:val="18"/>
          <w:lang w:eastAsia="en-US"/>
        </w:rPr>
        <w:t>//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Научные проблемы транспорта Сибири и Дальнего Востока.</w:t>
      </w:r>
      <w:r>
        <w:rPr>
          <w:rFonts w:ascii="Times New Roman" w:eastAsia="Calibri" w:hAnsi="Times New Roman"/>
          <w:sz w:val="18"/>
          <w:szCs w:val="18"/>
          <w:lang w:eastAsia="en-US"/>
        </w:rPr>
        <w:t>-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2014.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№ 1-2.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С. 282-286.</w:t>
      </w:r>
    </w:p>
    <w:p w:rsidR="007E38C6" w:rsidRDefault="007E38C6" w:rsidP="00130F1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4.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Мятеж А.В.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О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пределение энергоёмкости бортового буферного конде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н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саторного накопителя энергии для городского электрического транспорта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/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А.В.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Мятеж, М.В. Ярославцев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//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Транспорт Российской Федерации.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2013.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№ 4 (47).</w:t>
      </w:r>
      <w:r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С. 62-65.</w:t>
      </w:r>
    </w:p>
    <w:p w:rsidR="009C1028" w:rsidRDefault="009C1028" w:rsidP="00130F1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5. 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Кузнецов С.М. Исследование на математической модели переходных процессов в тяговой сети железных дорог постоянного тока при пуске поезда / С.М. Кузнецов, И.С. </w:t>
      </w:r>
      <w:proofErr w:type="spellStart"/>
      <w:r w:rsidRPr="007E38C6">
        <w:rPr>
          <w:rFonts w:ascii="Times New Roman" w:eastAsia="Calibri" w:hAnsi="Times New Roman"/>
          <w:sz w:val="18"/>
          <w:szCs w:val="18"/>
          <w:lang w:eastAsia="en-US"/>
        </w:rPr>
        <w:t>Демиденко</w:t>
      </w:r>
      <w:proofErr w:type="spellEnd"/>
      <w:r w:rsidRPr="007E38C6">
        <w:rPr>
          <w:rFonts w:ascii="Times New Roman" w:eastAsia="Calibri" w:hAnsi="Times New Roman"/>
          <w:sz w:val="18"/>
          <w:szCs w:val="18"/>
          <w:lang w:eastAsia="en-US"/>
        </w:rPr>
        <w:t>, М.В. Ярославцев, А.В. Гашкова, А.О. Крив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о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>ва // Научные проблемы транспорта Сибири и Дальнего Востока.</w:t>
      </w:r>
      <w:r w:rsidR="00DA5BC4"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2009.</w:t>
      </w:r>
      <w:r w:rsidR="00DA5BC4">
        <w:rPr>
          <w:rFonts w:ascii="Times New Roman" w:eastAsia="Calibri" w:hAnsi="Times New Roman"/>
          <w:sz w:val="18"/>
          <w:szCs w:val="18"/>
          <w:lang w:eastAsia="en-US"/>
        </w:rPr>
        <w:t>–</w:t>
      </w:r>
      <w:r w:rsidRPr="007E38C6">
        <w:rPr>
          <w:rFonts w:ascii="Times New Roman" w:eastAsia="Calibri" w:hAnsi="Times New Roman"/>
          <w:sz w:val="18"/>
          <w:szCs w:val="18"/>
          <w:lang w:eastAsia="en-US"/>
        </w:rPr>
        <w:t xml:space="preserve"> №2. – С. 324-327.</w:t>
      </w:r>
    </w:p>
    <w:p w:rsidR="00DA5BC4" w:rsidRDefault="00DA5BC4" w:rsidP="00130F1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 xml:space="preserve">6. </w:t>
      </w:r>
      <w:proofErr w:type="spellStart"/>
      <w:r w:rsidRPr="00DA5BC4">
        <w:rPr>
          <w:rFonts w:ascii="Times New Roman" w:eastAsia="Calibri" w:hAnsi="Times New Roman"/>
          <w:sz w:val="18"/>
          <w:szCs w:val="18"/>
          <w:lang w:eastAsia="en-US"/>
        </w:rPr>
        <w:t>Сопов</w:t>
      </w:r>
      <w:proofErr w:type="spellEnd"/>
      <w:r w:rsidRPr="00DA5BC4">
        <w:rPr>
          <w:rFonts w:ascii="Times New Roman" w:eastAsia="Calibri" w:hAnsi="Times New Roman"/>
          <w:sz w:val="18"/>
          <w:szCs w:val="18"/>
          <w:lang w:eastAsia="en-US"/>
        </w:rPr>
        <w:t xml:space="preserve"> В.И. Системы электроснабжения электрического</w:t>
      </w:r>
      <w:r>
        <w:rPr>
          <w:rFonts w:ascii="Times New Roman" w:eastAsia="Calibri" w:hAnsi="Times New Roman"/>
          <w:sz w:val="18"/>
          <w:szCs w:val="18"/>
          <w:lang w:eastAsia="en-US"/>
        </w:rPr>
        <w:t xml:space="preserve"> транспорта на постоянном токе </w:t>
      </w:r>
      <w:r w:rsidR="00DA14AF">
        <w:rPr>
          <w:rFonts w:ascii="Times New Roman" w:eastAsia="Calibri" w:hAnsi="Times New Roman"/>
          <w:sz w:val="18"/>
          <w:szCs w:val="18"/>
          <w:lang w:eastAsia="en-US"/>
        </w:rPr>
        <w:t xml:space="preserve">/ В.И. </w:t>
      </w:r>
      <w:proofErr w:type="spellStart"/>
      <w:r w:rsidR="00DA14AF">
        <w:rPr>
          <w:rFonts w:ascii="Times New Roman" w:eastAsia="Calibri" w:hAnsi="Times New Roman"/>
          <w:sz w:val="18"/>
          <w:szCs w:val="18"/>
          <w:lang w:eastAsia="en-US"/>
        </w:rPr>
        <w:t>Сопов</w:t>
      </w:r>
      <w:proofErr w:type="spellEnd"/>
      <w:r w:rsidR="00DA14AF">
        <w:rPr>
          <w:rFonts w:ascii="Times New Roman" w:eastAsia="Calibri" w:hAnsi="Times New Roman"/>
          <w:sz w:val="18"/>
          <w:szCs w:val="18"/>
          <w:lang w:eastAsia="en-US"/>
        </w:rPr>
        <w:t>, Н.</w:t>
      </w:r>
      <w:r>
        <w:rPr>
          <w:rFonts w:ascii="Times New Roman" w:eastAsia="Calibri" w:hAnsi="Times New Roman"/>
          <w:sz w:val="18"/>
          <w:szCs w:val="18"/>
          <w:lang w:eastAsia="en-US"/>
        </w:rPr>
        <w:t>И. Щуров.– Новосибирск, 2013.–</w:t>
      </w:r>
      <w:r w:rsidRPr="00DA5BC4">
        <w:rPr>
          <w:rFonts w:ascii="Times New Roman" w:eastAsia="Calibri" w:hAnsi="Times New Roman"/>
          <w:sz w:val="18"/>
          <w:szCs w:val="18"/>
          <w:lang w:eastAsia="en-US"/>
        </w:rPr>
        <w:t xml:space="preserve"> 727 </w:t>
      </w:r>
      <w:proofErr w:type="gramStart"/>
      <w:r w:rsidRPr="00DA5BC4">
        <w:rPr>
          <w:rFonts w:ascii="Times New Roman" w:eastAsia="Calibri" w:hAnsi="Times New Roman"/>
          <w:sz w:val="18"/>
          <w:szCs w:val="18"/>
          <w:lang w:eastAsia="en-US"/>
        </w:rPr>
        <w:t>с</w:t>
      </w:r>
      <w:proofErr w:type="gramEnd"/>
      <w:r w:rsidRPr="00DA5BC4">
        <w:rPr>
          <w:rFonts w:ascii="Times New Roman" w:eastAsia="Calibri" w:hAnsi="Times New Roman"/>
          <w:sz w:val="18"/>
          <w:szCs w:val="18"/>
          <w:lang w:eastAsia="en-US"/>
        </w:rPr>
        <w:t>.</w:t>
      </w:r>
    </w:p>
    <w:p w:rsidR="009C1028" w:rsidRDefault="009C1028" w:rsidP="00130F1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</w:p>
    <w:p w:rsidR="007E38C6" w:rsidRPr="00EC1E36" w:rsidRDefault="007E38C6" w:rsidP="00130F13">
      <w:pPr>
        <w:widowControl w:val="0"/>
        <w:rPr>
          <w:rFonts w:ascii="Times New Roman" w:eastAsia="Calibri" w:hAnsi="Times New Roman"/>
          <w:sz w:val="18"/>
          <w:szCs w:val="18"/>
          <w:lang w:eastAsia="en-US"/>
        </w:rPr>
      </w:pPr>
    </w:p>
    <w:p w:rsidR="003C4875" w:rsidRDefault="003C4875" w:rsidP="00130F13">
      <w:pPr>
        <w:widowControl w:val="0"/>
        <w:spacing w:after="200" w:line="276" w:lineRule="auto"/>
        <w:ind w:firstLine="0"/>
        <w:jc w:val="left"/>
        <w:rPr>
          <w:rFonts w:ascii="Times New Roman" w:eastAsia="Calibri" w:hAnsi="Times New Roman"/>
          <w:sz w:val="20"/>
          <w:szCs w:val="22"/>
          <w:lang w:eastAsia="en-US"/>
        </w:rPr>
      </w:pPr>
    </w:p>
    <w:sectPr w:rsidR="003C4875" w:rsidSect="00A00D09">
      <w:pgSz w:w="8391" w:h="11907" w:code="11"/>
      <w:pgMar w:top="1134" w:right="1134" w:bottom="1134" w:left="1134" w:header="1021" w:footer="1021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00D09"/>
    <w:rsid w:val="000020CB"/>
    <w:rsid w:val="000B0356"/>
    <w:rsid w:val="000F505C"/>
    <w:rsid w:val="00130F13"/>
    <w:rsid w:val="001E44F9"/>
    <w:rsid w:val="003031D8"/>
    <w:rsid w:val="00307FE8"/>
    <w:rsid w:val="00333548"/>
    <w:rsid w:val="003C4875"/>
    <w:rsid w:val="004E5CE4"/>
    <w:rsid w:val="005E0AF7"/>
    <w:rsid w:val="00721851"/>
    <w:rsid w:val="007E38C6"/>
    <w:rsid w:val="007F3DCC"/>
    <w:rsid w:val="00902F3E"/>
    <w:rsid w:val="00914615"/>
    <w:rsid w:val="009C1028"/>
    <w:rsid w:val="00A00D09"/>
    <w:rsid w:val="00AC2879"/>
    <w:rsid w:val="00AE28F2"/>
    <w:rsid w:val="00B16F9A"/>
    <w:rsid w:val="00B61DEF"/>
    <w:rsid w:val="00B702F6"/>
    <w:rsid w:val="00BA5B3A"/>
    <w:rsid w:val="00BB2B68"/>
    <w:rsid w:val="00C56E4A"/>
    <w:rsid w:val="00D260EB"/>
    <w:rsid w:val="00DA14AF"/>
    <w:rsid w:val="00DA5BC4"/>
    <w:rsid w:val="00DE39DF"/>
    <w:rsid w:val="00E31327"/>
    <w:rsid w:val="00E6244B"/>
    <w:rsid w:val="00E94430"/>
    <w:rsid w:val="00EC1E36"/>
    <w:rsid w:val="00FA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09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430"/>
    <w:pPr>
      <w:ind w:left="720"/>
      <w:contextualSpacing/>
    </w:pPr>
  </w:style>
  <w:style w:type="paragraph" w:customStyle="1" w:styleId="a4">
    <w:name w:val="Текст публикации"/>
    <w:basedOn w:val="a"/>
    <w:link w:val="a5"/>
    <w:qFormat/>
    <w:rsid w:val="00BB2B68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5">
    <w:name w:val="Текст публикации Знак"/>
    <w:basedOn w:val="a0"/>
    <w:link w:val="a4"/>
    <w:rsid w:val="00BB2B68"/>
    <w:rPr>
      <w:rFonts w:ascii="Times New Roman" w:eastAsia="Calibri" w:hAnsi="Times New Roman" w:cs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14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Yaroslavtsev</cp:lastModifiedBy>
  <cp:revision>11</cp:revision>
  <dcterms:created xsi:type="dcterms:W3CDTF">2019-09-21T05:04:00Z</dcterms:created>
  <dcterms:modified xsi:type="dcterms:W3CDTF">2019-09-25T14:34:00Z</dcterms:modified>
</cp:coreProperties>
</file>